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26" w:rsidRDefault="006B7BCF">
      <w:pPr>
        <w:jc w:val="center"/>
        <w:rPr>
          <w:rFonts w:ascii="Times New Roman" w:eastAsiaTheme="majorEastAsia" w:hAnsi="Times New Roman" w:cs="Times New Roman"/>
          <w:b/>
          <w:sz w:val="28"/>
          <w:szCs w:val="28"/>
        </w:rPr>
      </w:pPr>
      <w:r w:rsidRPr="006B7BCF">
        <w:rPr>
          <w:rFonts w:ascii="Times New Roman" w:eastAsiaTheme="majorEastAsia" w:hAnsi="Times New Roman" w:cs="Times New Roman" w:hint="eastAsia"/>
          <w:b/>
          <w:sz w:val="28"/>
          <w:szCs w:val="28"/>
        </w:rPr>
        <w:t>《个人信息保护法》下</w:t>
      </w:r>
      <w:proofErr w:type="gramStart"/>
      <w:r w:rsidR="00AC6A66">
        <w:rPr>
          <w:rFonts w:ascii="Times New Roman" w:eastAsiaTheme="majorEastAsia" w:hAnsi="Times New Roman" w:cs="Times New Roman"/>
          <w:b/>
          <w:sz w:val="28"/>
          <w:szCs w:val="28"/>
        </w:rPr>
        <w:t>互金</w:t>
      </w:r>
      <w:r w:rsidR="00EA70B1">
        <w:rPr>
          <w:rFonts w:ascii="Times New Roman" w:eastAsiaTheme="majorEastAsia" w:hAnsi="Times New Roman" w:cs="Times New Roman" w:hint="eastAsia"/>
          <w:b/>
          <w:sz w:val="28"/>
          <w:szCs w:val="28"/>
        </w:rPr>
        <w:t>企</w:t>
      </w:r>
      <w:r w:rsidR="00AC6A66">
        <w:rPr>
          <w:rFonts w:ascii="Times New Roman" w:eastAsiaTheme="majorEastAsia" w:hAnsi="Times New Roman" w:cs="Times New Roman"/>
          <w:b/>
          <w:sz w:val="28"/>
          <w:szCs w:val="28"/>
        </w:rPr>
        <w:t>业</w:t>
      </w:r>
      <w:proofErr w:type="gramEnd"/>
      <w:r w:rsidR="00AC6A66">
        <w:rPr>
          <w:rFonts w:ascii="Times New Roman" w:eastAsiaTheme="majorEastAsia" w:hAnsi="Times New Roman" w:cs="Times New Roman"/>
          <w:b/>
          <w:sz w:val="28"/>
          <w:szCs w:val="28"/>
        </w:rPr>
        <w:t>的</w:t>
      </w:r>
      <w:r w:rsidR="0007200E">
        <w:rPr>
          <w:rFonts w:ascii="Times New Roman" w:eastAsiaTheme="majorEastAsia" w:hAnsi="Times New Roman" w:cs="Times New Roman" w:hint="eastAsia"/>
          <w:b/>
          <w:sz w:val="28"/>
          <w:szCs w:val="28"/>
        </w:rPr>
        <w:t>民事</w:t>
      </w:r>
      <w:r w:rsidR="00AC6A66">
        <w:rPr>
          <w:rFonts w:ascii="Times New Roman" w:eastAsiaTheme="majorEastAsia" w:hAnsi="Times New Roman" w:cs="Times New Roman"/>
          <w:b/>
          <w:sz w:val="28"/>
          <w:szCs w:val="28"/>
        </w:rPr>
        <w:t>法律风险及</w:t>
      </w:r>
      <w:r w:rsidR="00DC7811">
        <w:rPr>
          <w:rFonts w:ascii="Times New Roman" w:eastAsiaTheme="majorEastAsia" w:hAnsi="Times New Roman" w:cs="Times New Roman" w:hint="eastAsia"/>
          <w:b/>
          <w:sz w:val="28"/>
          <w:szCs w:val="28"/>
        </w:rPr>
        <w:t>合</w:t>
      </w:r>
      <w:proofErr w:type="gramStart"/>
      <w:r w:rsidR="00DC7811">
        <w:rPr>
          <w:rFonts w:ascii="Times New Roman" w:eastAsiaTheme="majorEastAsia" w:hAnsi="Times New Roman" w:cs="Times New Roman" w:hint="eastAsia"/>
          <w:b/>
          <w:sz w:val="28"/>
          <w:szCs w:val="28"/>
        </w:rPr>
        <w:t>规</w:t>
      </w:r>
      <w:proofErr w:type="gramEnd"/>
      <w:r w:rsidR="00AC6A66">
        <w:rPr>
          <w:rFonts w:ascii="Times New Roman" w:eastAsiaTheme="majorEastAsia" w:hAnsi="Times New Roman" w:cs="Times New Roman"/>
          <w:b/>
          <w:sz w:val="28"/>
          <w:szCs w:val="28"/>
        </w:rPr>
        <w:t>方案</w:t>
      </w:r>
    </w:p>
    <w:p w:rsidR="000E2526" w:rsidRDefault="00FC4498">
      <w:pPr>
        <w:rPr>
          <w:rFonts w:ascii="Times New Roman" w:hAnsi="Times New Roman" w:cs="Times New Roman" w:hint="eastAsia"/>
        </w:rPr>
      </w:pPr>
      <w:r>
        <w:rPr>
          <w:rFonts w:ascii="Times New Roman" w:hAnsi="Times New Roman" w:cs="Times New Roman" w:hint="eastAsia"/>
        </w:rPr>
        <w:t xml:space="preserve">                                                                  </w:t>
      </w:r>
      <w:r>
        <w:rPr>
          <w:rFonts w:ascii="Times New Roman" w:hAnsi="Times New Roman" w:cs="Times New Roman" w:hint="eastAsia"/>
        </w:rPr>
        <w:t>庄燕君等人</w:t>
      </w:r>
    </w:p>
    <w:p w:rsidR="00FC4498" w:rsidRDefault="00FC4498">
      <w:pPr>
        <w:rPr>
          <w:rFonts w:ascii="Times New Roman" w:hAnsi="Times New Roman" w:cs="Times New Roman"/>
        </w:rPr>
      </w:pPr>
      <w:bookmarkStart w:id="0" w:name="_GoBack"/>
      <w:bookmarkEnd w:id="0"/>
    </w:p>
    <w:p w:rsidR="000E2526" w:rsidRPr="00976DED" w:rsidRDefault="00AC6A66" w:rsidP="0074722F">
      <w:pPr>
        <w:spacing w:line="360" w:lineRule="auto"/>
        <w:ind w:firstLineChars="200" w:firstLine="480"/>
        <w:rPr>
          <w:rFonts w:asciiTheme="minorEastAsia" w:hAnsiTheme="minorEastAsia" w:cs="Times New Roman"/>
          <w:sz w:val="24"/>
          <w:szCs w:val="24"/>
        </w:rPr>
      </w:pPr>
      <w:r w:rsidRPr="00976DED">
        <w:rPr>
          <w:rFonts w:asciiTheme="minorEastAsia" w:hAnsiTheme="minorEastAsia" w:cs="Times New Roman"/>
          <w:sz w:val="24"/>
          <w:szCs w:val="24"/>
        </w:rPr>
        <w:t>2021</w:t>
      </w:r>
      <w:r w:rsidRPr="00976DED">
        <w:rPr>
          <w:rFonts w:asciiTheme="minorEastAsia" w:hAnsiTheme="minorEastAsia" w:cs="Times New Roman" w:hint="eastAsia"/>
          <w:sz w:val="24"/>
          <w:szCs w:val="24"/>
        </w:rPr>
        <w:t>年</w:t>
      </w:r>
      <w:r w:rsidRPr="00976DED">
        <w:rPr>
          <w:rFonts w:asciiTheme="minorEastAsia" w:hAnsiTheme="minorEastAsia" w:cs="Times New Roman"/>
          <w:sz w:val="24"/>
          <w:szCs w:val="24"/>
        </w:rPr>
        <w:t>8月20日，第十三届全国人民代表大会常务委员会第三十次会议</w:t>
      </w:r>
      <w:r w:rsidRPr="00976DED">
        <w:rPr>
          <w:rFonts w:asciiTheme="minorEastAsia" w:hAnsiTheme="minorEastAsia" w:cs="Times New Roman" w:hint="eastAsia"/>
          <w:sz w:val="24"/>
          <w:szCs w:val="24"/>
        </w:rPr>
        <w:t>表决通过了</w:t>
      </w:r>
      <w:r w:rsidRPr="00976DED">
        <w:rPr>
          <w:rFonts w:asciiTheme="minorEastAsia" w:hAnsiTheme="minorEastAsia" w:cs="Times New Roman"/>
          <w:sz w:val="24"/>
          <w:szCs w:val="24"/>
        </w:rPr>
        <w:t>《个人信息保护法》</w:t>
      </w:r>
      <w:r w:rsidRPr="00976DED">
        <w:rPr>
          <w:rFonts w:asciiTheme="minorEastAsia" w:hAnsiTheme="minorEastAsia" w:cs="Times New Roman" w:hint="eastAsia"/>
          <w:sz w:val="24"/>
          <w:szCs w:val="24"/>
        </w:rPr>
        <w:t>（以下简称“《个保法》”）</w:t>
      </w:r>
      <w:r w:rsidRPr="00976DED">
        <w:rPr>
          <w:rFonts w:asciiTheme="minorEastAsia" w:hAnsiTheme="minorEastAsia" w:cs="Times New Roman"/>
          <w:sz w:val="24"/>
          <w:szCs w:val="24"/>
        </w:rPr>
        <w:t>，</w:t>
      </w:r>
      <w:r w:rsidRPr="00976DED">
        <w:rPr>
          <w:rFonts w:asciiTheme="minorEastAsia" w:hAnsiTheme="minorEastAsia" w:cs="Times New Roman" w:hint="eastAsia"/>
          <w:sz w:val="24"/>
          <w:szCs w:val="24"/>
        </w:rPr>
        <w:t>并将</w:t>
      </w:r>
      <w:r w:rsidRPr="00976DED">
        <w:rPr>
          <w:rFonts w:asciiTheme="minorEastAsia" w:hAnsiTheme="minorEastAsia" w:cs="Times New Roman"/>
          <w:sz w:val="24"/>
          <w:szCs w:val="24"/>
        </w:rPr>
        <w:t>于2021年11月1日起正式实施。</w:t>
      </w:r>
      <w:r w:rsidRPr="00976DED">
        <w:rPr>
          <w:rFonts w:asciiTheme="minorEastAsia" w:hAnsiTheme="minorEastAsia" w:cs="Times New Roman" w:hint="eastAsia"/>
          <w:sz w:val="24"/>
          <w:szCs w:val="24"/>
        </w:rPr>
        <w:t>《个保法》在第七十条</w:t>
      </w:r>
      <w:r w:rsidRPr="00976DED">
        <w:rPr>
          <w:rFonts w:asciiTheme="minorEastAsia" w:hAnsiTheme="minorEastAsia" w:cs="Times New Roman"/>
          <w:sz w:val="24"/>
          <w:szCs w:val="24"/>
        </w:rPr>
        <w:t>专门</w:t>
      </w:r>
      <w:r w:rsidRPr="00976DED">
        <w:rPr>
          <w:rFonts w:asciiTheme="minorEastAsia" w:hAnsiTheme="minorEastAsia" w:cs="Times New Roman" w:hint="eastAsia"/>
          <w:sz w:val="24"/>
          <w:szCs w:val="24"/>
        </w:rPr>
        <w:t>设置了</w:t>
      </w:r>
      <w:r w:rsidRPr="00976DED">
        <w:rPr>
          <w:rFonts w:asciiTheme="minorEastAsia" w:hAnsiTheme="minorEastAsia" w:cs="Times New Roman"/>
          <w:sz w:val="24"/>
          <w:szCs w:val="24"/>
        </w:rPr>
        <w:t>公益诉讼条款，明确将个人信息保护</w:t>
      </w:r>
      <w:r w:rsidR="00935558">
        <w:rPr>
          <w:rFonts w:asciiTheme="minorEastAsia" w:hAnsiTheme="minorEastAsia" w:cs="Times New Roman" w:hint="eastAsia"/>
          <w:sz w:val="24"/>
          <w:szCs w:val="24"/>
        </w:rPr>
        <w:t>的民事责任</w:t>
      </w:r>
      <w:r w:rsidRPr="00976DED">
        <w:rPr>
          <w:rFonts w:asciiTheme="minorEastAsia" w:hAnsiTheme="minorEastAsia" w:cs="Times New Roman"/>
          <w:sz w:val="24"/>
          <w:szCs w:val="24"/>
        </w:rPr>
        <w:t>纳入检察公益诉讼法定领域。</w:t>
      </w:r>
      <w:r w:rsidR="000B0F17" w:rsidRPr="00976DED">
        <w:rPr>
          <w:rFonts w:asciiTheme="minorEastAsia" w:hAnsiTheme="minorEastAsia" w:cs="Times New Roman" w:hint="eastAsia"/>
          <w:sz w:val="24"/>
          <w:szCs w:val="24"/>
        </w:rPr>
        <w:t>次日</w:t>
      </w:r>
      <w:r w:rsidRPr="00976DED">
        <w:rPr>
          <w:rFonts w:asciiTheme="minorEastAsia" w:hAnsiTheme="minorEastAsia" w:cs="Times New Roman"/>
          <w:sz w:val="24"/>
          <w:szCs w:val="24"/>
        </w:rPr>
        <w:t>，最高人民检察院下发《关于贯彻执行个人信息保护法推进个人信息保护公益诉讼检察工作的通知》</w:t>
      </w:r>
      <w:r w:rsidRPr="00976DED">
        <w:rPr>
          <w:rFonts w:asciiTheme="minorEastAsia" w:hAnsiTheme="minorEastAsia" w:cs="Times New Roman" w:hint="eastAsia"/>
          <w:sz w:val="24"/>
          <w:szCs w:val="24"/>
        </w:rPr>
        <w:t>（以下简称“《通知》”）</w:t>
      </w:r>
      <w:r w:rsidRPr="00976DED">
        <w:rPr>
          <w:rFonts w:asciiTheme="minorEastAsia" w:hAnsiTheme="minorEastAsia" w:cs="Times New Roman"/>
          <w:sz w:val="24"/>
          <w:szCs w:val="24"/>
        </w:rPr>
        <w:t>，</w:t>
      </w:r>
      <w:r w:rsidRPr="00976DED">
        <w:rPr>
          <w:rFonts w:asciiTheme="minorEastAsia" w:hAnsiTheme="minorEastAsia" w:cs="Times New Roman" w:hint="eastAsia"/>
          <w:sz w:val="24"/>
          <w:szCs w:val="24"/>
        </w:rPr>
        <w:t>明确要求推动公益诉讼条款落地落实，</w:t>
      </w:r>
      <w:r w:rsidRPr="00976DED">
        <w:rPr>
          <w:rFonts w:asciiTheme="minorEastAsia" w:hAnsiTheme="minorEastAsia" w:cs="Times New Roman"/>
          <w:sz w:val="24"/>
          <w:szCs w:val="24"/>
        </w:rPr>
        <w:t>推动形成个人信息保护多元共治新格局。</w:t>
      </w:r>
    </w:p>
    <w:p w:rsidR="000E2526" w:rsidRPr="00976DED" w:rsidRDefault="00AC6A66" w:rsidP="00220E9D">
      <w:pPr>
        <w:spacing w:line="360" w:lineRule="auto"/>
        <w:ind w:firstLineChars="200" w:firstLine="480"/>
        <w:rPr>
          <w:rFonts w:asciiTheme="minorEastAsia" w:hAnsiTheme="minorEastAsia" w:cs="Times New Roman"/>
          <w:sz w:val="24"/>
          <w:szCs w:val="24"/>
        </w:rPr>
      </w:pPr>
      <w:r w:rsidRPr="00976DED">
        <w:rPr>
          <w:rFonts w:asciiTheme="minorEastAsia" w:hAnsiTheme="minorEastAsia" w:cs="Times New Roman"/>
          <w:sz w:val="24"/>
          <w:szCs w:val="24"/>
        </w:rPr>
        <w:t>对于互联网与金融</w:t>
      </w:r>
      <w:r w:rsidR="00EA70B1" w:rsidRPr="00976DED">
        <w:rPr>
          <w:rFonts w:asciiTheme="minorEastAsia" w:hAnsiTheme="minorEastAsia" w:cs="Times New Roman" w:hint="eastAsia"/>
          <w:sz w:val="24"/>
          <w:szCs w:val="24"/>
        </w:rPr>
        <w:t>企业</w:t>
      </w:r>
      <w:r w:rsidR="002C336F" w:rsidRPr="00976DED">
        <w:rPr>
          <w:rFonts w:asciiTheme="minorEastAsia" w:hAnsiTheme="minorEastAsia" w:cs="Times New Roman" w:hint="eastAsia"/>
          <w:sz w:val="24"/>
          <w:szCs w:val="24"/>
        </w:rPr>
        <w:t>而言</w:t>
      </w:r>
      <w:r w:rsidRPr="00976DED">
        <w:rPr>
          <w:rFonts w:asciiTheme="minorEastAsia" w:hAnsiTheme="minorEastAsia" w:cs="Times New Roman"/>
          <w:sz w:val="24"/>
          <w:szCs w:val="24"/>
        </w:rPr>
        <w:t>，其业务</w:t>
      </w:r>
      <w:r w:rsidR="007209FA" w:rsidRPr="00976DED">
        <w:rPr>
          <w:rFonts w:asciiTheme="minorEastAsia" w:hAnsiTheme="minorEastAsia" w:cs="Times New Roman" w:hint="eastAsia"/>
          <w:sz w:val="24"/>
          <w:szCs w:val="24"/>
        </w:rPr>
        <w:t>模式决定了企业的经营活动</w:t>
      </w:r>
      <w:r w:rsidR="000B54B2" w:rsidRPr="00976DED">
        <w:rPr>
          <w:rFonts w:asciiTheme="minorEastAsia" w:hAnsiTheme="minorEastAsia" w:cs="Times New Roman" w:hint="eastAsia"/>
          <w:sz w:val="24"/>
          <w:szCs w:val="24"/>
        </w:rPr>
        <w:t>频繁</w:t>
      </w:r>
      <w:r w:rsidR="00094DF7" w:rsidRPr="00976DED">
        <w:rPr>
          <w:rFonts w:asciiTheme="minorEastAsia" w:hAnsiTheme="minorEastAsia" w:cs="Times New Roman" w:hint="eastAsia"/>
          <w:sz w:val="24"/>
          <w:szCs w:val="24"/>
        </w:rPr>
        <w:t>关涉</w:t>
      </w:r>
      <w:r w:rsidRPr="00976DED">
        <w:rPr>
          <w:rFonts w:asciiTheme="minorEastAsia" w:hAnsiTheme="minorEastAsia" w:cs="Times New Roman"/>
          <w:sz w:val="24"/>
          <w:szCs w:val="24"/>
        </w:rPr>
        <w:t>个人信息</w:t>
      </w:r>
      <w:r w:rsidR="00094DF7" w:rsidRPr="00976DED">
        <w:rPr>
          <w:rFonts w:asciiTheme="minorEastAsia" w:hAnsiTheme="minorEastAsia" w:cs="Times New Roman" w:hint="eastAsia"/>
          <w:sz w:val="24"/>
          <w:szCs w:val="24"/>
        </w:rPr>
        <w:t>处理活动</w:t>
      </w:r>
      <w:r w:rsidRPr="00976DED">
        <w:rPr>
          <w:rFonts w:asciiTheme="minorEastAsia" w:hAnsiTheme="minorEastAsia" w:cs="Times New Roman"/>
          <w:sz w:val="24"/>
          <w:szCs w:val="24"/>
        </w:rPr>
        <w:t>，</w:t>
      </w:r>
      <w:r w:rsidR="00935558">
        <w:rPr>
          <w:rFonts w:asciiTheme="minorEastAsia" w:hAnsiTheme="minorEastAsia" w:cs="Times New Roman" w:hint="eastAsia"/>
          <w:sz w:val="24"/>
          <w:szCs w:val="24"/>
        </w:rPr>
        <w:t>其业务</w:t>
      </w:r>
      <w:r w:rsidR="00EB2335">
        <w:rPr>
          <w:rFonts w:asciiTheme="minorEastAsia" w:hAnsiTheme="minorEastAsia" w:cs="Times New Roman" w:hint="eastAsia"/>
          <w:sz w:val="24"/>
          <w:szCs w:val="24"/>
        </w:rPr>
        <w:t>规模</w:t>
      </w:r>
      <w:r w:rsidR="00935558">
        <w:rPr>
          <w:rFonts w:asciiTheme="minorEastAsia" w:hAnsiTheme="minorEastAsia" w:cs="Times New Roman" w:hint="eastAsia"/>
          <w:sz w:val="24"/>
          <w:szCs w:val="24"/>
        </w:rPr>
        <w:t>亦决定了</w:t>
      </w:r>
      <w:r w:rsidR="00672CD1">
        <w:rPr>
          <w:rFonts w:asciiTheme="minorEastAsia" w:hAnsiTheme="minorEastAsia" w:cs="Times New Roman" w:hint="eastAsia"/>
          <w:sz w:val="24"/>
          <w:szCs w:val="24"/>
        </w:rPr>
        <w:t>个人信息处理活动的</w:t>
      </w:r>
      <w:r w:rsidR="00EB2335">
        <w:rPr>
          <w:rFonts w:asciiTheme="minorEastAsia" w:hAnsiTheme="minorEastAsia" w:cs="Times New Roman" w:hint="eastAsia"/>
          <w:sz w:val="24"/>
          <w:szCs w:val="24"/>
        </w:rPr>
        <w:t>体量</w:t>
      </w:r>
      <w:r w:rsidR="00672CD1">
        <w:rPr>
          <w:rFonts w:asciiTheme="minorEastAsia" w:hAnsiTheme="minorEastAsia" w:cs="Times New Roman" w:hint="eastAsia"/>
          <w:sz w:val="24"/>
          <w:szCs w:val="24"/>
        </w:rPr>
        <w:t>，</w:t>
      </w:r>
      <w:r w:rsidR="00EB71E1" w:rsidRPr="00976DED">
        <w:rPr>
          <w:rFonts w:asciiTheme="minorEastAsia" w:hAnsiTheme="minorEastAsia" w:cs="Times New Roman" w:hint="eastAsia"/>
          <w:sz w:val="24"/>
          <w:szCs w:val="24"/>
        </w:rPr>
        <w:t>如若</w:t>
      </w:r>
      <w:proofErr w:type="gramStart"/>
      <w:r w:rsidR="00EB71E1" w:rsidRPr="00976DED">
        <w:rPr>
          <w:rFonts w:asciiTheme="minorEastAsia" w:hAnsiTheme="minorEastAsia" w:cs="Times New Roman" w:hint="eastAsia"/>
          <w:sz w:val="24"/>
          <w:szCs w:val="24"/>
        </w:rPr>
        <w:t>互金企业</w:t>
      </w:r>
      <w:proofErr w:type="gramEnd"/>
      <w:r w:rsidR="00EB71E1" w:rsidRPr="00976DED">
        <w:rPr>
          <w:rFonts w:asciiTheme="minorEastAsia" w:hAnsiTheme="minorEastAsia" w:cs="Times New Roman" w:hint="eastAsia"/>
          <w:sz w:val="24"/>
          <w:szCs w:val="24"/>
        </w:rPr>
        <w:t>未能合法合</w:t>
      </w:r>
      <w:proofErr w:type="gramStart"/>
      <w:r w:rsidR="00EB71E1" w:rsidRPr="00976DED">
        <w:rPr>
          <w:rFonts w:asciiTheme="minorEastAsia" w:hAnsiTheme="minorEastAsia" w:cs="Times New Roman" w:hint="eastAsia"/>
          <w:sz w:val="24"/>
          <w:szCs w:val="24"/>
        </w:rPr>
        <w:t>规</w:t>
      </w:r>
      <w:proofErr w:type="gramEnd"/>
      <w:r w:rsidR="00EB71E1" w:rsidRPr="00976DED">
        <w:rPr>
          <w:rFonts w:asciiTheme="minorEastAsia" w:hAnsiTheme="minorEastAsia" w:cs="Times New Roman" w:hint="eastAsia"/>
          <w:sz w:val="24"/>
          <w:szCs w:val="24"/>
        </w:rPr>
        <w:t>地</w:t>
      </w:r>
      <w:r w:rsidR="00C20C17" w:rsidRPr="00976DED">
        <w:rPr>
          <w:rFonts w:asciiTheme="minorEastAsia" w:hAnsiTheme="minorEastAsia" w:cs="Times New Roman" w:hint="eastAsia"/>
          <w:sz w:val="24"/>
          <w:szCs w:val="24"/>
        </w:rPr>
        <w:t>收集、使用、提供、公开个人信息，</w:t>
      </w:r>
      <w:r w:rsidRPr="00976DED">
        <w:rPr>
          <w:rFonts w:asciiTheme="minorEastAsia" w:hAnsiTheme="minorEastAsia" w:cs="Times New Roman" w:hint="eastAsia"/>
          <w:sz w:val="24"/>
          <w:szCs w:val="24"/>
        </w:rPr>
        <w:t>极易</w:t>
      </w:r>
      <w:r w:rsidR="00BE5DBF">
        <w:rPr>
          <w:rFonts w:asciiTheme="minorEastAsia" w:hAnsiTheme="minorEastAsia" w:cs="Times New Roman" w:hint="eastAsia"/>
          <w:sz w:val="24"/>
          <w:szCs w:val="24"/>
        </w:rPr>
        <w:t>触发</w:t>
      </w:r>
      <w:r w:rsidR="00A57A9D" w:rsidRPr="00976DED">
        <w:rPr>
          <w:rFonts w:asciiTheme="minorEastAsia" w:hAnsiTheme="minorEastAsia" w:cs="Times New Roman" w:hint="eastAsia"/>
          <w:sz w:val="24"/>
          <w:szCs w:val="24"/>
        </w:rPr>
        <w:t>民事、行政与刑事</w:t>
      </w:r>
      <w:r w:rsidR="002F2317">
        <w:rPr>
          <w:rFonts w:asciiTheme="minorEastAsia" w:hAnsiTheme="minorEastAsia" w:cs="Times New Roman" w:hint="eastAsia"/>
          <w:sz w:val="24"/>
          <w:szCs w:val="24"/>
        </w:rPr>
        <w:t>等</w:t>
      </w:r>
      <w:r w:rsidR="00A57A9D">
        <w:rPr>
          <w:rFonts w:asciiTheme="minorEastAsia" w:hAnsiTheme="minorEastAsia" w:cs="Times New Roman" w:hint="eastAsia"/>
          <w:sz w:val="24"/>
          <w:szCs w:val="24"/>
        </w:rPr>
        <w:t>多元</w:t>
      </w:r>
      <w:r w:rsidR="00A57A9D" w:rsidRPr="00976DED">
        <w:rPr>
          <w:rFonts w:asciiTheme="minorEastAsia" w:hAnsiTheme="minorEastAsia" w:cs="Times New Roman" w:hint="eastAsia"/>
          <w:sz w:val="24"/>
          <w:szCs w:val="24"/>
        </w:rPr>
        <w:t>法律风险</w:t>
      </w:r>
      <w:r w:rsidRPr="00976DED">
        <w:rPr>
          <w:rFonts w:asciiTheme="minorEastAsia" w:hAnsiTheme="minorEastAsia" w:cs="Times New Roman"/>
          <w:sz w:val="24"/>
          <w:szCs w:val="24"/>
        </w:rPr>
        <w:t>。</w:t>
      </w:r>
      <w:r w:rsidR="00A57A9D" w:rsidRPr="00976DED">
        <w:rPr>
          <w:rFonts w:asciiTheme="minorEastAsia" w:hAnsiTheme="minorEastAsia" w:cs="Times New Roman" w:hint="eastAsia"/>
          <w:sz w:val="24"/>
          <w:szCs w:val="24"/>
        </w:rPr>
        <w:t>特别是以</w:t>
      </w:r>
      <w:r w:rsidR="00B23728">
        <w:rPr>
          <w:rFonts w:asciiTheme="minorEastAsia" w:hAnsiTheme="minorEastAsia" w:cs="Times New Roman" w:hint="eastAsia"/>
          <w:sz w:val="24"/>
          <w:szCs w:val="24"/>
        </w:rPr>
        <w:t>检察机关提请</w:t>
      </w:r>
      <w:r w:rsidR="00A57A9D" w:rsidRPr="00976DED">
        <w:rPr>
          <w:rFonts w:asciiTheme="minorEastAsia" w:hAnsiTheme="minorEastAsia" w:cs="Times New Roman" w:hint="eastAsia"/>
          <w:sz w:val="24"/>
          <w:szCs w:val="24"/>
        </w:rPr>
        <w:t>公益诉讼为</w:t>
      </w:r>
      <w:r w:rsidR="00B06CEF">
        <w:rPr>
          <w:rFonts w:asciiTheme="minorEastAsia" w:hAnsiTheme="minorEastAsia" w:cs="Times New Roman" w:hint="eastAsia"/>
          <w:sz w:val="24"/>
          <w:szCs w:val="24"/>
        </w:rPr>
        <w:t>路径</w:t>
      </w:r>
      <w:r w:rsidR="00A57A9D" w:rsidRPr="00976DED">
        <w:rPr>
          <w:rFonts w:asciiTheme="minorEastAsia" w:hAnsiTheme="minorEastAsia" w:cs="Times New Roman" w:hint="eastAsia"/>
          <w:sz w:val="24"/>
          <w:szCs w:val="24"/>
        </w:rPr>
        <w:t>的民事</w:t>
      </w:r>
      <w:r w:rsidR="00B06CEF">
        <w:rPr>
          <w:rFonts w:asciiTheme="minorEastAsia" w:hAnsiTheme="minorEastAsia" w:cs="Times New Roman" w:hint="eastAsia"/>
          <w:sz w:val="24"/>
          <w:szCs w:val="24"/>
        </w:rPr>
        <w:t>救济</w:t>
      </w:r>
      <w:r w:rsidRPr="00976DED">
        <w:rPr>
          <w:rFonts w:asciiTheme="minorEastAsia" w:hAnsiTheme="minorEastAsia" w:cs="Times New Roman" w:hint="eastAsia"/>
          <w:sz w:val="24"/>
          <w:szCs w:val="24"/>
        </w:rPr>
        <w:t>，</w:t>
      </w:r>
      <w:r w:rsidR="00122DF0">
        <w:rPr>
          <w:rFonts w:asciiTheme="minorEastAsia" w:hAnsiTheme="minorEastAsia" w:cs="Times New Roman" w:hint="eastAsia"/>
          <w:sz w:val="24"/>
          <w:szCs w:val="24"/>
        </w:rPr>
        <w:t>带有极强的</w:t>
      </w:r>
      <w:r w:rsidR="00F17F8B">
        <w:rPr>
          <w:rFonts w:asciiTheme="minorEastAsia" w:hAnsiTheme="minorEastAsia" w:cs="Times New Roman" w:hint="eastAsia"/>
          <w:sz w:val="24"/>
          <w:szCs w:val="24"/>
        </w:rPr>
        <w:t>政府监管</w:t>
      </w:r>
      <w:r w:rsidR="00122DF0">
        <w:rPr>
          <w:rFonts w:asciiTheme="minorEastAsia" w:hAnsiTheme="minorEastAsia" w:cs="Times New Roman" w:hint="eastAsia"/>
          <w:sz w:val="24"/>
          <w:szCs w:val="24"/>
        </w:rPr>
        <w:t>色彩，</w:t>
      </w:r>
      <w:proofErr w:type="gramStart"/>
      <w:r w:rsidR="0032329B" w:rsidRPr="00976DED">
        <w:rPr>
          <w:rFonts w:asciiTheme="minorEastAsia" w:hAnsiTheme="minorEastAsia" w:cs="Times New Roman" w:hint="eastAsia"/>
          <w:sz w:val="24"/>
          <w:szCs w:val="24"/>
        </w:rPr>
        <w:t>互金企业</w:t>
      </w:r>
      <w:proofErr w:type="gramEnd"/>
      <w:r w:rsidR="002753A4" w:rsidRPr="00976DED">
        <w:rPr>
          <w:rFonts w:asciiTheme="minorEastAsia" w:hAnsiTheme="minorEastAsia" w:cs="Times New Roman" w:hint="eastAsia"/>
          <w:sz w:val="24"/>
          <w:szCs w:val="24"/>
        </w:rPr>
        <w:t>应当</w:t>
      </w:r>
      <w:r w:rsidR="00B06CEF">
        <w:rPr>
          <w:rFonts w:asciiTheme="minorEastAsia" w:hAnsiTheme="minorEastAsia" w:cs="Times New Roman" w:hint="eastAsia"/>
          <w:sz w:val="24"/>
          <w:szCs w:val="24"/>
        </w:rPr>
        <w:t>充分</w:t>
      </w:r>
      <w:r w:rsidR="002753A4" w:rsidRPr="00976DED">
        <w:rPr>
          <w:rFonts w:asciiTheme="minorEastAsia" w:hAnsiTheme="minorEastAsia" w:cs="Times New Roman" w:hint="eastAsia"/>
          <w:sz w:val="24"/>
          <w:szCs w:val="24"/>
        </w:rPr>
        <w:t>认识</w:t>
      </w:r>
      <w:r w:rsidR="00B06CEF">
        <w:rPr>
          <w:rFonts w:asciiTheme="minorEastAsia" w:hAnsiTheme="minorEastAsia" w:cs="Times New Roman" w:hint="eastAsia"/>
          <w:sz w:val="24"/>
          <w:szCs w:val="24"/>
        </w:rPr>
        <w:t>到</w:t>
      </w:r>
      <w:r w:rsidR="00B23728">
        <w:rPr>
          <w:rFonts w:asciiTheme="minorEastAsia" w:hAnsiTheme="minorEastAsia" w:cs="Times New Roman" w:hint="eastAsia"/>
          <w:sz w:val="24"/>
          <w:szCs w:val="24"/>
        </w:rPr>
        <w:t>该类</w:t>
      </w:r>
      <w:r w:rsidR="00EC7B87">
        <w:rPr>
          <w:rFonts w:asciiTheme="minorEastAsia" w:hAnsiTheme="minorEastAsia" w:cs="Times New Roman" w:hint="eastAsia"/>
          <w:sz w:val="24"/>
          <w:szCs w:val="24"/>
        </w:rPr>
        <w:t>公益诉讼</w:t>
      </w:r>
      <w:r w:rsidR="000172C3">
        <w:rPr>
          <w:rFonts w:asciiTheme="minorEastAsia" w:hAnsiTheme="minorEastAsia" w:cs="Times New Roman" w:hint="eastAsia"/>
          <w:sz w:val="24"/>
          <w:szCs w:val="24"/>
        </w:rPr>
        <w:t>对涉案企业</w:t>
      </w:r>
      <w:r w:rsidR="00F55ED3">
        <w:rPr>
          <w:rFonts w:asciiTheme="minorEastAsia" w:hAnsiTheme="minorEastAsia" w:cs="Times New Roman" w:hint="eastAsia"/>
          <w:sz w:val="24"/>
          <w:szCs w:val="24"/>
        </w:rPr>
        <w:t>的重大影响</w:t>
      </w:r>
      <w:r w:rsidR="006E0C96" w:rsidRPr="00976DED">
        <w:rPr>
          <w:rFonts w:asciiTheme="minorEastAsia" w:hAnsiTheme="minorEastAsia" w:cs="Times New Roman" w:hint="eastAsia"/>
          <w:sz w:val="24"/>
          <w:szCs w:val="24"/>
        </w:rPr>
        <w:t>。如何防范</w:t>
      </w:r>
      <w:r w:rsidR="00EE16F4">
        <w:rPr>
          <w:rFonts w:asciiTheme="minorEastAsia" w:hAnsiTheme="minorEastAsia" w:cs="Times New Roman" w:hint="eastAsia"/>
          <w:sz w:val="24"/>
          <w:szCs w:val="24"/>
        </w:rPr>
        <w:t>民事</w:t>
      </w:r>
      <w:r w:rsidR="006E0C96" w:rsidRPr="00976DED">
        <w:rPr>
          <w:rFonts w:asciiTheme="minorEastAsia" w:hAnsiTheme="minorEastAsia" w:cs="Times New Roman" w:hint="eastAsia"/>
          <w:sz w:val="24"/>
          <w:szCs w:val="24"/>
        </w:rPr>
        <w:t>法律风险，</w:t>
      </w:r>
      <w:r w:rsidRPr="00976DED">
        <w:rPr>
          <w:rFonts w:asciiTheme="minorEastAsia" w:hAnsiTheme="minorEastAsia" w:cs="Times New Roman" w:hint="eastAsia"/>
          <w:sz w:val="24"/>
          <w:szCs w:val="24"/>
        </w:rPr>
        <w:t>将</w:t>
      </w:r>
      <w:r w:rsidR="00B23728">
        <w:rPr>
          <w:rFonts w:asciiTheme="minorEastAsia" w:hAnsiTheme="minorEastAsia" w:cs="Times New Roman" w:hint="eastAsia"/>
          <w:sz w:val="24"/>
          <w:szCs w:val="24"/>
        </w:rPr>
        <w:t>成为</w:t>
      </w:r>
      <w:proofErr w:type="gramStart"/>
      <w:r w:rsidR="006E0C96" w:rsidRPr="00976DED">
        <w:rPr>
          <w:rFonts w:asciiTheme="minorEastAsia" w:hAnsiTheme="minorEastAsia" w:cs="Times New Roman" w:hint="eastAsia"/>
          <w:sz w:val="24"/>
          <w:szCs w:val="24"/>
        </w:rPr>
        <w:t>互金</w:t>
      </w:r>
      <w:r w:rsidRPr="00976DED">
        <w:rPr>
          <w:rFonts w:asciiTheme="minorEastAsia" w:hAnsiTheme="minorEastAsia" w:cs="Times New Roman" w:hint="eastAsia"/>
          <w:sz w:val="24"/>
          <w:szCs w:val="24"/>
        </w:rPr>
        <w:t>企业</w:t>
      </w:r>
      <w:proofErr w:type="gramEnd"/>
      <w:r w:rsidR="00B23728">
        <w:rPr>
          <w:rFonts w:asciiTheme="minorEastAsia" w:hAnsiTheme="minorEastAsia" w:cs="Times New Roman" w:hint="eastAsia"/>
          <w:sz w:val="24"/>
          <w:szCs w:val="24"/>
        </w:rPr>
        <w:t>建设</w:t>
      </w:r>
      <w:r w:rsidRPr="00976DED">
        <w:rPr>
          <w:rFonts w:asciiTheme="minorEastAsia" w:hAnsiTheme="minorEastAsia" w:cs="Times New Roman" w:hint="eastAsia"/>
          <w:sz w:val="24"/>
          <w:szCs w:val="24"/>
        </w:rPr>
        <w:t>个人信息保护</w:t>
      </w:r>
      <w:r w:rsidR="00B23728">
        <w:rPr>
          <w:rFonts w:asciiTheme="minorEastAsia" w:hAnsiTheme="minorEastAsia" w:cs="Times New Roman" w:hint="eastAsia"/>
          <w:sz w:val="24"/>
          <w:szCs w:val="24"/>
        </w:rPr>
        <w:t>制度</w:t>
      </w:r>
      <w:r w:rsidRPr="00976DED">
        <w:rPr>
          <w:rFonts w:asciiTheme="minorEastAsia" w:hAnsiTheme="minorEastAsia" w:cs="Times New Roman" w:hint="eastAsia"/>
          <w:sz w:val="24"/>
          <w:szCs w:val="24"/>
        </w:rPr>
        <w:t>的</w:t>
      </w:r>
      <w:r w:rsidR="006E0C96" w:rsidRPr="00976DED">
        <w:rPr>
          <w:rFonts w:asciiTheme="minorEastAsia" w:hAnsiTheme="minorEastAsia" w:cs="Times New Roman" w:hint="eastAsia"/>
          <w:sz w:val="24"/>
          <w:szCs w:val="24"/>
        </w:rPr>
        <w:t>工作</w:t>
      </w:r>
      <w:r w:rsidRPr="00976DED">
        <w:rPr>
          <w:rFonts w:asciiTheme="minorEastAsia" w:hAnsiTheme="minorEastAsia" w:cs="Times New Roman" w:hint="eastAsia"/>
          <w:sz w:val="24"/>
          <w:szCs w:val="24"/>
        </w:rPr>
        <w:t>重点</w:t>
      </w:r>
      <w:r w:rsidR="00D21FEC">
        <w:rPr>
          <w:rFonts w:asciiTheme="minorEastAsia" w:hAnsiTheme="minorEastAsia" w:cs="Times New Roman" w:hint="eastAsia"/>
          <w:sz w:val="24"/>
          <w:szCs w:val="24"/>
        </w:rPr>
        <w:t>之一</w:t>
      </w:r>
      <w:r w:rsidRPr="00976DED">
        <w:rPr>
          <w:rFonts w:asciiTheme="minorEastAsia" w:hAnsiTheme="minorEastAsia" w:cs="Times New Roman" w:hint="eastAsia"/>
          <w:sz w:val="24"/>
          <w:szCs w:val="24"/>
        </w:rPr>
        <w:t>。</w:t>
      </w:r>
    </w:p>
    <w:p w:rsidR="000E2526" w:rsidRPr="001640B9" w:rsidRDefault="00976DED" w:rsidP="001640B9">
      <w:pPr>
        <w:spacing w:beforeLines="50" w:before="156" w:afterLines="50" w:after="156" w:line="360" w:lineRule="auto"/>
        <w:ind w:firstLineChars="200" w:firstLine="482"/>
        <w:rPr>
          <w:rFonts w:asciiTheme="minorEastAsia" w:hAnsiTheme="minorEastAsia"/>
          <w:b/>
          <w:sz w:val="24"/>
          <w:szCs w:val="24"/>
        </w:rPr>
      </w:pPr>
      <w:r w:rsidRPr="007560DD">
        <w:rPr>
          <w:rFonts w:asciiTheme="minorEastAsia" w:hAnsiTheme="minorEastAsia" w:hint="eastAsia"/>
          <w:b/>
          <w:sz w:val="24"/>
          <w:szCs w:val="24"/>
        </w:rPr>
        <w:t>一、</w:t>
      </w:r>
      <w:r w:rsidR="004A08ED" w:rsidRPr="007560DD">
        <w:rPr>
          <w:rFonts w:asciiTheme="minorEastAsia" w:hAnsiTheme="minorEastAsia" w:hint="eastAsia"/>
          <w:b/>
          <w:sz w:val="24"/>
          <w:szCs w:val="24"/>
        </w:rPr>
        <w:t>个人信息保护多元共治格局</w:t>
      </w:r>
      <w:r w:rsidR="001640B9">
        <w:rPr>
          <w:rFonts w:asciiTheme="minorEastAsia" w:hAnsiTheme="minorEastAsia" w:hint="eastAsia"/>
          <w:b/>
          <w:sz w:val="24"/>
          <w:szCs w:val="24"/>
        </w:rPr>
        <w:t>下的</w:t>
      </w:r>
      <w:r w:rsidR="00C9426D" w:rsidRPr="007560DD">
        <w:rPr>
          <w:rFonts w:asciiTheme="minorEastAsia" w:hAnsiTheme="minorEastAsia" w:hint="eastAsia"/>
          <w:b/>
          <w:sz w:val="24"/>
          <w:szCs w:val="24"/>
        </w:rPr>
        <w:t>民事法律</w:t>
      </w:r>
      <w:r w:rsidR="00774F16" w:rsidRPr="007560DD">
        <w:rPr>
          <w:rFonts w:asciiTheme="minorEastAsia" w:hAnsiTheme="minorEastAsia" w:hint="eastAsia"/>
          <w:b/>
          <w:sz w:val="24"/>
          <w:szCs w:val="24"/>
        </w:rPr>
        <w:t>风险</w:t>
      </w:r>
      <w:r w:rsidR="001640B9">
        <w:rPr>
          <w:rFonts w:asciiTheme="minorEastAsia" w:hAnsiTheme="minorEastAsia" w:hint="eastAsia"/>
          <w:b/>
          <w:sz w:val="24"/>
          <w:szCs w:val="24"/>
        </w:rPr>
        <w:t>与公益诉讼</w:t>
      </w:r>
    </w:p>
    <w:p w:rsidR="005E54C8" w:rsidRDefault="00AC6A66" w:rsidP="00564034">
      <w:pPr>
        <w:spacing w:line="360" w:lineRule="auto"/>
        <w:ind w:firstLineChars="200" w:firstLine="480"/>
        <w:rPr>
          <w:rFonts w:asciiTheme="minorEastAsia" w:hAnsiTheme="minorEastAsia" w:cs="Times New Roman"/>
          <w:sz w:val="24"/>
          <w:szCs w:val="24"/>
        </w:rPr>
      </w:pPr>
      <w:r w:rsidRPr="001640B9">
        <w:rPr>
          <w:rFonts w:asciiTheme="minorEastAsia" w:hAnsiTheme="minorEastAsia" w:cs="Times New Roman" w:hint="eastAsia"/>
          <w:sz w:val="24"/>
          <w:szCs w:val="24"/>
        </w:rPr>
        <w:t>《网络安全法》</w:t>
      </w:r>
      <w:r w:rsidR="0072054A">
        <w:rPr>
          <w:rFonts w:asciiTheme="minorEastAsia" w:hAnsiTheme="minorEastAsia" w:cs="Times New Roman" w:hint="eastAsia"/>
          <w:sz w:val="24"/>
          <w:szCs w:val="24"/>
        </w:rPr>
        <w:t>、</w:t>
      </w:r>
      <w:r w:rsidRPr="001640B9">
        <w:rPr>
          <w:rFonts w:asciiTheme="minorEastAsia" w:hAnsiTheme="minorEastAsia" w:cs="Times New Roman" w:hint="eastAsia"/>
          <w:sz w:val="24"/>
          <w:szCs w:val="24"/>
        </w:rPr>
        <w:t>《数据安全法》</w:t>
      </w:r>
      <w:r w:rsidR="0072054A">
        <w:rPr>
          <w:rFonts w:asciiTheme="minorEastAsia" w:hAnsiTheme="minorEastAsia" w:cs="Times New Roman" w:hint="eastAsia"/>
          <w:sz w:val="24"/>
          <w:szCs w:val="24"/>
        </w:rPr>
        <w:t>与《个保法》共同构建起</w:t>
      </w:r>
      <w:r w:rsidR="0072054A" w:rsidRPr="001640B9">
        <w:rPr>
          <w:rFonts w:asciiTheme="minorEastAsia" w:hAnsiTheme="minorEastAsia" w:cs="Times New Roman"/>
          <w:sz w:val="24"/>
          <w:szCs w:val="24"/>
        </w:rPr>
        <w:t>网络空间治理和数据保护的</w:t>
      </w:r>
      <w:r w:rsidR="00F013EE">
        <w:rPr>
          <w:rFonts w:asciiTheme="minorEastAsia" w:hAnsiTheme="minorEastAsia" w:cs="Times New Roman" w:hint="eastAsia"/>
          <w:sz w:val="24"/>
          <w:szCs w:val="24"/>
        </w:rPr>
        <w:t>规范体系。</w:t>
      </w:r>
      <w:r w:rsidR="00F40DFA">
        <w:rPr>
          <w:rFonts w:asciiTheme="minorEastAsia" w:hAnsiTheme="minorEastAsia" w:cs="Times New Roman" w:hint="eastAsia"/>
          <w:sz w:val="24"/>
          <w:szCs w:val="24"/>
        </w:rPr>
        <w:t>然而</w:t>
      </w:r>
      <w:r w:rsidR="00A77B69">
        <w:rPr>
          <w:rFonts w:asciiTheme="minorEastAsia" w:hAnsiTheme="minorEastAsia" w:cs="Times New Roman" w:hint="eastAsia"/>
          <w:sz w:val="24"/>
          <w:szCs w:val="24"/>
        </w:rPr>
        <w:t>，</w:t>
      </w:r>
      <w:r w:rsidR="00F013EE">
        <w:rPr>
          <w:rFonts w:asciiTheme="minorEastAsia" w:hAnsiTheme="minorEastAsia" w:cs="Times New Roman" w:hint="eastAsia"/>
          <w:sz w:val="24"/>
          <w:szCs w:val="24"/>
        </w:rPr>
        <w:t>前两者</w:t>
      </w:r>
      <w:r w:rsidRPr="001640B9">
        <w:rPr>
          <w:rFonts w:asciiTheme="minorEastAsia" w:hAnsiTheme="minorEastAsia" w:cs="Times New Roman" w:hint="eastAsia"/>
          <w:sz w:val="24"/>
          <w:szCs w:val="24"/>
        </w:rPr>
        <w:t>均是以侵害网络安全和数据安全的行政责任和刑事责任为其</w:t>
      </w:r>
      <w:r w:rsidR="002D0139">
        <w:rPr>
          <w:rFonts w:asciiTheme="minorEastAsia" w:hAnsiTheme="minorEastAsia" w:cs="Times New Roman" w:hint="eastAsia"/>
          <w:sz w:val="24"/>
          <w:szCs w:val="24"/>
        </w:rPr>
        <w:t>规范</w:t>
      </w:r>
      <w:r w:rsidRPr="001640B9">
        <w:rPr>
          <w:rFonts w:asciiTheme="minorEastAsia" w:hAnsiTheme="minorEastAsia" w:cs="Times New Roman" w:hint="eastAsia"/>
          <w:sz w:val="24"/>
          <w:szCs w:val="24"/>
        </w:rPr>
        <w:t>保障，</w:t>
      </w:r>
      <w:r w:rsidRPr="001640B9">
        <w:rPr>
          <w:rFonts w:asciiTheme="minorEastAsia" w:hAnsiTheme="minorEastAsia" w:cs="Times New Roman"/>
          <w:sz w:val="24"/>
          <w:szCs w:val="24"/>
        </w:rPr>
        <w:t>而</w:t>
      </w:r>
      <w:r w:rsidRPr="001640B9">
        <w:rPr>
          <w:rFonts w:asciiTheme="minorEastAsia" w:hAnsiTheme="minorEastAsia" w:cs="Times New Roman" w:hint="eastAsia"/>
          <w:sz w:val="24"/>
          <w:szCs w:val="24"/>
        </w:rPr>
        <w:t>《个保法》除了</w:t>
      </w:r>
      <w:r w:rsidR="002D0139">
        <w:rPr>
          <w:rFonts w:asciiTheme="minorEastAsia" w:hAnsiTheme="minorEastAsia" w:cs="Times New Roman" w:hint="eastAsia"/>
          <w:sz w:val="24"/>
          <w:szCs w:val="24"/>
        </w:rPr>
        <w:t>设置</w:t>
      </w:r>
      <w:r w:rsidRPr="001640B9">
        <w:rPr>
          <w:rFonts w:asciiTheme="minorEastAsia" w:hAnsiTheme="minorEastAsia" w:cs="Times New Roman" w:hint="eastAsia"/>
          <w:sz w:val="24"/>
          <w:szCs w:val="24"/>
        </w:rPr>
        <w:t>相关行政</w:t>
      </w:r>
      <w:r w:rsidR="002D0139">
        <w:rPr>
          <w:rFonts w:asciiTheme="minorEastAsia" w:hAnsiTheme="minorEastAsia" w:cs="Times New Roman" w:hint="eastAsia"/>
          <w:sz w:val="24"/>
          <w:szCs w:val="24"/>
        </w:rPr>
        <w:t>责任与</w:t>
      </w:r>
      <w:r w:rsidRPr="001640B9">
        <w:rPr>
          <w:rFonts w:asciiTheme="minorEastAsia" w:hAnsiTheme="minorEastAsia" w:cs="Times New Roman" w:hint="eastAsia"/>
          <w:sz w:val="24"/>
          <w:szCs w:val="24"/>
        </w:rPr>
        <w:t>刑事</w:t>
      </w:r>
      <w:r w:rsidR="002D0139">
        <w:rPr>
          <w:rFonts w:asciiTheme="minorEastAsia" w:hAnsiTheme="minorEastAsia" w:cs="Times New Roman" w:hint="eastAsia"/>
          <w:sz w:val="24"/>
          <w:szCs w:val="24"/>
        </w:rPr>
        <w:t>责任</w:t>
      </w:r>
      <w:r w:rsidRPr="001640B9">
        <w:rPr>
          <w:rFonts w:asciiTheme="minorEastAsia" w:hAnsiTheme="minorEastAsia" w:cs="Times New Roman" w:hint="eastAsia"/>
          <w:sz w:val="24"/>
          <w:szCs w:val="24"/>
        </w:rPr>
        <w:t>外，还</w:t>
      </w:r>
      <w:r w:rsidR="009D6064">
        <w:rPr>
          <w:rFonts w:asciiTheme="minorEastAsia" w:hAnsiTheme="minorEastAsia" w:cs="Times New Roman" w:hint="eastAsia"/>
          <w:sz w:val="24"/>
          <w:szCs w:val="24"/>
        </w:rPr>
        <w:t>特别设置了</w:t>
      </w:r>
      <w:r w:rsidR="00564034">
        <w:rPr>
          <w:rFonts w:asciiTheme="minorEastAsia" w:hAnsiTheme="minorEastAsia" w:cs="Times New Roman" w:hint="eastAsia"/>
          <w:sz w:val="24"/>
          <w:szCs w:val="24"/>
        </w:rPr>
        <w:t>民事责任</w:t>
      </w:r>
      <w:r w:rsidR="001E3D4A">
        <w:rPr>
          <w:rFonts w:asciiTheme="minorEastAsia" w:hAnsiTheme="minorEastAsia" w:cs="Times New Roman" w:hint="eastAsia"/>
          <w:sz w:val="24"/>
          <w:szCs w:val="24"/>
        </w:rPr>
        <w:t>作为对侵犯公民</w:t>
      </w:r>
      <w:r w:rsidR="00E448CB">
        <w:rPr>
          <w:rFonts w:asciiTheme="minorEastAsia" w:hAnsiTheme="minorEastAsia" w:cs="Times New Roman" w:hint="eastAsia"/>
          <w:sz w:val="24"/>
          <w:szCs w:val="24"/>
        </w:rPr>
        <w:t>个人信息权益的救济途径</w:t>
      </w:r>
      <w:r w:rsidRPr="001640B9">
        <w:rPr>
          <w:rFonts w:asciiTheme="minorEastAsia" w:hAnsiTheme="minorEastAsia" w:cs="Times New Roman"/>
          <w:sz w:val="24"/>
          <w:szCs w:val="24"/>
        </w:rPr>
        <w:t>。</w:t>
      </w:r>
      <w:r w:rsidR="00581AE2">
        <w:rPr>
          <w:rFonts w:asciiTheme="minorEastAsia" w:hAnsiTheme="minorEastAsia" w:cs="Times New Roman" w:hint="eastAsia"/>
          <w:sz w:val="24"/>
          <w:szCs w:val="24"/>
        </w:rPr>
        <w:t>这一制度设计的法律效果在于，对于</w:t>
      </w:r>
      <w:r w:rsidR="0015211D">
        <w:rPr>
          <w:rFonts w:asciiTheme="minorEastAsia" w:hAnsiTheme="minorEastAsia" w:cs="Times New Roman" w:hint="eastAsia"/>
          <w:sz w:val="24"/>
          <w:szCs w:val="24"/>
        </w:rPr>
        <w:t>高度依赖个人信息处理活动的</w:t>
      </w:r>
      <w:proofErr w:type="gramStart"/>
      <w:r w:rsidR="00581AE2">
        <w:rPr>
          <w:rFonts w:asciiTheme="minorEastAsia" w:hAnsiTheme="minorEastAsia" w:cs="Times New Roman" w:hint="eastAsia"/>
          <w:sz w:val="24"/>
          <w:szCs w:val="24"/>
        </w:rPr>
        <w:t>互金企业</w:t>
      </w:r>
      <w:proofErr w:type="gramEnd"/>
      <w:r w:rsidR="0015211D">
        <w:rPr>
          <w:rFonts w:asciiTheme="minorEastAsia" w:hAnsiTheme="minorEastAsia" w:cs="Times New Roman" w:hint="eastAsia"/>
          <w:sz w:val="24"/>
          <w:szCs w:val="24"/>
        </w:rPr>
        <w:t>而言，其《个保法》项下的民事法律风险显著提高，且</w:t>
      </w:r>
      <w:r w:rsidR="006D4B0E">
        <w:rPr>
          <w:rFonts w:asciiTheme="minorEastAsia" w:hAnsiTheme="minorEastAsia" w:cs="Times New Roman" w:hint="eastAsia"/>
          <w:sz w:val="24"/>
          <w:szCs w:val="24"/>
        </w:rPr>
        <w:t>涉案企业会因该民事责任</w:t>
      </w:r>
      <w:r w:rsidR="007439F1">
        <w:rPr>
          <w:rFonts w:asciiTheme="minorEastAsia" w:hAnsiTheme="minorEastAsia" w:cs="Times New Roman" w:hint="eastAsia"/>
          <w:sz w:val="24"/>
          <w:szCs w:val="24"/>
        </w:rPr>
        <w:t>面临更为</w:t>
      </w:r>
      <w:r w:rsidR="006D4B0E">
        <w:rPr>
          <w:rFonts w:asciiTheme="minorEastAsia" w:hAnsiTheme="minorEastAsia" w:cs="Times New Roman" w:hint="eastAsia"/>
          <w:sz w:val="24"/>
          <w:szCs w:val="24"/>
        </w:rPr>
        <w:t>不利</w:t>
      </w:r>
      <w:r w:rsidR="007439F1">
        <w:rPr>
          <w:rFonts w:asciiTheme="minorEastAsia" w:hAnsiTheme="minorEastAsia" w:cs="Times New Roman" w:hint="eastAsia"/>
          <w:sz w:val="24"/>
          <w:szCs w:val="24"/>
        </w:rPr>
        <w:t>的</w:t>
      </w:r>
      <w:r w:rsidR="006D4B0E">
        <w:rPr>
          <w:rFonts w:asciiTheme="minorEastAsia" w:hAnsiTheme="minorEastAsia" w:cs="Times New Roman" w:hint="eastAsia"/>
          <w:sz w:val="24"/>
          <w:szCs w:val="24"/>
        </w:rPr>
        <w:t>后果。</w:t>
      </w:r>
    </w:p>
    <w:p w:rsidR="005E54C8" w:rsidRPr="006D4B0E" w:rsidRDefault="00CA6511" w:rsidP="006D4B0E">
      <w:pPr>
        <w:pStyle w:val="a5"/>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《个保法》</w:t>
      </w:r>
      <w:r w:rsidR="00B2348E">
        <w:rPr>
          <w:rFonts w:asciiTheme="minorEastAsia" w:hAnsiTheme="minorEastAsia" w:hint="eastAsia"/>
          <w:b/>
          <w:sz w:val="24"/>
          <w:szCs w:val="24"/>
        </w:rPr>
        <w:t>相关规则</w:t>
      </w:r>
      <w:r w:rsidR="00DC50CB">
        <w:rPr>
          <w:rFonts w:asciiTheme="minorEastAsia" w:hAnsiTheme="minorEastAsia" w:hint="eastAsia"/>
          <w:b/>
          <w:sz w:val="24"/>
          <w:szCs w:val="24"/>
        </w:rPr>
        <w:t>导致</w:t>
      </w:r>
      <w:r>
        <w:rPr>
          <w:rFonts w:asciiTheme="minorEastAsia" w:hAnsiTheme="minorEastAsia" w:hint="eastAsia"/>
          <w:b/>
          <w:sz w:val="24"/>
          <w:szCs w:val="24"/>
        </w:rPr>
        <w:t>民事法律风险显著提高</w:t>
      </w:r>
    </w:p>
    <w:p w:rsidR="000E2526" w:rsidRDefault="00FC39D6" w:rsidP="0056403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sidR="009B0828">
        <w:rPr>
          <w:rFonts w:asciiTheme="minorEastAsia" w:hAnsiTheme="minorEastAsia" w:cs="Times New Roman" w:hint="eastAsia"/>
          <w:sz w:val="24"/>
          <w:szCs w:val="24"/>
        </w:rPr>
        <w:t>个保法</w:t>
      </w:r>
      <w:r>
        <w:rPr>
          <w:rFonts w:asciiTheme="minorEastAsia" w:hAnsiTheme="minorEastAsia" w:cs="Times New Roman" w:hint="eastAsia"/>
          <w:sz w:val="24"/>
          <w:szCs w:val="24"/>
        </w:rPr>
        <w:t>》</w:t>
      </w:r>
      <w:r w:rsidR="00392239">
        <w:rPr>
          <w:rFonts w:asciiTheme="minorEastAsia" w:hAnsiTheme="minorEastAsia" w:cs="Times New Roman" w:hint="eastAsia"/>
          <w:sz w:val="24"/>
          <w:szCs w:val="24"/>
        </w:rPr>
        <w:t>项下的民事</w:t>
      </w:r>
      <w:r w:rsidR="00E448CB">
        <w:rPr>
          <w:rFonts w:asciiTheme="minorEastAsia" w:hAnsiTheme="minorEastAsia" w:cs="Times New Roman" w:hint="eastAsia"/>
          <w:sz w:val="24"/>
          <w:szCs w:val="24"/>
        </w:rPr>
        <w:t>责任具有以下两个显著特征</w:t>
      </w:r>
      <w:r w:rsidR="00DC50CB">
        <w:rPr>
          <w:rFonts w:asciiTheme="minorEastAsia" w:hAnsiTheme="minorEastAsia" w:cs="Times New Roman" w:hint="eastAsia"/>
          <w:sz w:val="24"/>
          <w:szCs w:val="24"/>
        </w:rPr>
        <w:t>，</w:t>
      </w:r>
      <w:r w:rsidR="00601F9F">
        <w:rPr>
          <w:rFonts w:asciiTheme="minorEastAsia" w:hAnsiTheme="minorEastAsia" w:cs="Times New Roman" w:hint="eastAsia"/>
          <w:sz w:val="24"/>
          <w:szCs w:val="24"/>
        </w:rPr>
        <w:t>其功能均在一定程度上</w:t>
      </w:r>
      <w:r w:rsidR="0042431A">
        <w:rPr>
          <w:rFonts w:asciiTheme="minorEastAsia" w:hAnsiTheme="minorEastAsia" w:cs="Times New Roman" w:hint="eastAsia"/>
          <w:sz w:val="24"/>
          <w:szCs w:val="24"/>
        </w:rPr>
        <w:t>导致</w:t>
      </w:r>
      <w:r w:rsidR="00D4565B">
        <w:rPr>
          <w:rFonts w:asciiTheme="minorEastAsia" w:hAnsiTheme="minorEastAsia" w:cs="Times New Roman" w:hint="eastAsia"/>
          <w:sz w:val="24"/>
          <w:szCs w:val="24"/>
        </w:rPr>
        <w:t>个人信息处理者的</w:t>
      </w:r>
      <w:r w:rsidR="0042431A">
        <w:rPr>
          <w:rFonts w:asciiTheme="minorEastAsia" w:hAnsiTheme="minorEastAsia" w:cs="Times New Roman" w:hint="eastAsia"/>
          <w:sz w:val="24"/>
          <w:szCs w:val="24"/>
        </w:rPr>
        <w:t>民事法律风险</w:t>
      </w:r>
      <w:r w:rsidR="00D4565B">
        <w:rPr>
          <w:rFonts w:asciiTheme="minorEastAsia" w:hAnsiTheme="minorEastAsia" w:cs="Times New Roman" w:hint="eastAsia"/>
          <w:sz w:val="24"/>
          <w:szCs w:val="24"/>
        </w:rPr>
        <w:t>有所提高</w:t>
      </w:r>
      <w:r w:rsidR="0042431A">
        <w:rPr>
          <w:rFonts w:asciiTheme="minorEastAsia" w:hAnsiTheme="minorEastAsia" w:cs="Times New Roman" w:hint="eastAsia"/>
          <w:sz w:val="24"/>
          <w:szCs w:val="24"/>
        </w:rPr>
        <w:t>。</w:t>
      </w:r>
    </w:p>
    <w:p w:rsidR="00E54A42" w:rsidRDefault="006F0AFB" w:rsidP="005F1549">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第一，在</w:t>
      </w:r>
      <w:r w:rsidR="005F1549">
        <w:rPr>
          <w:rFonts w:asciiTheme="minorEastAsia" w:hAnsiTheme="minorEastAsia" w:cs="Times New Roman" w:hint="eastAsia"/>
          <w:sz w:val="24"/>
          <w:szCs w:val="24"/>
        </w:rPr>
        <w:t>举证</w:t>
      </w:r>
      <w:r>
        <w:rPr>
          <w:rFonts w:asciiTheme="minorEastAsia" w:hAnsiTheme="minorEastAsia" w:cs="Times New Roman" w:hint="eastAsia"/>
          <w:sz w:val="24"/>
          <w:szCs w:val="24"/>
        </w:rPr>
        <w:t>责任方面，</w:t>
      </w:r>
      <w:r w:rsidR="005F1549">
        <w:rPr>
          <w:rFonts w:asciiTheme="minorEastAsia" w:hAnsiTheme="minorEastAsia" w:cs="Times New Roman" w:hint="eastAsia"/>
          <w:sz w:val="24"/>
          <w:szCs w:val="24"/>
        </w:rPr>
        <w:t>《个保法》</w:t>
      </w:r>
      <w:r w:rsidR="008A583C">
        <w:rPr>
          <w:rFonts w:asciiTheme="minorEastAsia" w:hAnsiTheme="minorEastAsia" w:cs="Times New Roman" w:hint="eastAsia"/>
          <w:sz w:val="24"/>
          <w:szCs w:val="24"/>
        </w:rPr>
        <w:t>实行</w:t>
      </w:r>
      <w:r w:rsidR="005F1549">
        <w:rPr>
          <w:rFonts w:asciiTheme="minorEastAsia" w:hAnsiTheme="minorEastAsia" w:cs="Times New Roman" w:hint="eastAsia"/>
          <w:sz w:val="24"/>
          <w:szCs w:val="24"/>
        </w:rPr>
        <w:t>举证责任倒置规则</w:t>
      </w:r>
      <w:r w:rsidR="00187D53">
        <w:rPr>
          <w:rFonts w:asciiTheme="minorEastAsia" w:hAnsiTheme="minorEastAsia" w:cs="Times New Roman" w:hint="eastAsia"/>
          <w:sz w:val="24"/>
          <w:szCs w:val="24"/>
        </w:rPr>
        <w:t>。</w:t>
      </w:r>
      <w:r w:rsidR="00E54A42" w:rsidRPr="00E54A42">
        <w:rPr>
          <w:rFonts w:asciiTheme="minorEastAsia" w:hAnsiTheme="minorEastAsia" w:cs="Times New Roman" w:hint="eastAsia"/>
          <w:sz w:val="24"/>
          <w:szCs w:val="24"/>
        </w:rPr>
        <w:t>《个保法》第六十九条第一款规定，处理个人信息侵害个人信息权益造成损害，个人信息处理者不能证明自己没有过错的，应当承担损害赔偿等侵权责任。不同于“谁主张，谁</w:t>
      </w:r>
      <w:r w:rsidR="00E54A42" w:rsidRPr="00E54A42">
        <w:rPr>
          <w:rFonts w:asciiTheme="minorEastAsia" w:hAnsiTheme="minorEastAsia" w:cs="Times New Roman" w:hint="eastAsia"/>
          <w:sz w:val="24"/>
          <w:szCs w:val="24"/>
        </w:rPr>
        <w:lastRenderedPageBreak/>
        <w:t>举证”的</w:t>
      </w:r>
      <w:r w:rsidR="008A583C">
        <w:rPr>
          <w:rFonts w:asciiTheme="minorEastAsia" w:hAnsiTheme="minorEastAsia" w:cs="Times New Roman" w:hint="eastAsia"/>
          <w:sz w:val="24"/>
          <w:szCs w:val="24"/>
        </w:rPr>
        <w:t>一般规则</w:t>
      </w:r>
      <w:r w:rsidR="00E54A42" w:rsidRPr="00E54A42">
        <w:rPr>
          <w:rFonts w:asciiTheme="minorEastAsia" w:hAnsiTheme="minorEastAsia" w:cs="Times New Roman" w:hint="eastAsia"/>
          <w:sz w:val="24"/>
          <w:szCs w:val="24"/>
        </w:rPr>
        <w:t>，</w:t>
      </w:r>
      <w:r w:rsidR="008A583C">
        <w:rPr>
          <w:rFonts w:asciiTheme="minorEastAsia" w:hAnsiTheme="minorEastAsia" w:cs="Times New Roman" w:hint="eastAsia"/>
          <w:sz w:val="24"/>
          <w:szCs w:val="24"/>
        </w:rPr>
        <w:t>除非</w:t>
      </w:r>
      <w:r w:rsidR="00E54A42" w:rsidRPr="00E54A42">
        <w:rPr>
          <w:rFonts w:asciiTheme="minorEastAsia" w:hAnsiTheme="minorEastAsia" w:cs="Times New Roman" w:hint="eastAsia"/>
          <w:sz w:val="24"/>
          <w:szCs w:val="24"/>
        </w:rPr>
        <w:t>个人信息处理者</w:t>
      </w:r>
      <w:r w:rsidR="00726F08">
        <w:rPr>
          <w:rFonts w:asciiTheme="minorEastAsia" w:hAnsiTheme="minorEastAsia" w:cs="Times New Roman" w:hint="eastAsia"/>
          <w:sz w:val="24"/>
          <w:szCs w:val="24"/>
        </w:rPr>
        <w:t>能够</w:t>
      </w:r>
      <w:r w:rsidR="00E54A42" w:rsidRPr="00E54A42">
        <w:rPr>
          <w:rFonts w:asciiTheme="minorEastAsia" w:hAnsiTheme="minorEastAsia" w:cs="Times New Roman" w:hint="eastAsia"/>
          <w:sz w:val="24"/>
          <w:szCs w:val="24"/>
        </w:rPr>
        <w:t>证明</w:t>
      </w:r>
      <w:r w:rsidR="00726F08">
        <w:rPr>
          <w:rFonts w:asciiTheme="minorEastAsia" w:hAnsiTheme="minorEastAsia" w:cs="Times New Roman" w:hint="eastAsia"/>
          <w:sz w:val="24"/>
          <w:szCs w:val="24"/>
        </w:rPr>
        <w:t>自身在被控侵犯公民个人信息权益的行为中</w:t>
      </w:r>
      <w:r w:rsidR="00535FE7">
        <w:rPr>
          <w:rFonts w:asciiTheme="minorEastAsia" w:hAnsiTheme="minorEastAsia" w:cs="Times New Roman" w:hint="eastAsia"/>
          <w:sz w:val="24"/>
          <w:szCs w:val="24"/>
        </w:rPr>
        <w:t>不存在</w:t>
      </w:r>
      <w:r w:rsidR="00E54A42" w:rsidRPr="00E54A42">
        <w:rPr>
          <w:rFonts w:asciiTheme="minorEastAsia" w:hAnsiTheme="minorEastAsia" w:cs="Times New Roman" w:hint="eastAsia"/>
          <w:sz w:val="24"/>
          <w:szCs w:val="24"/>
        </w:rPr>
        <w:t>过错，否则承担</w:t>
      </w:r>
      <w:r w:rsidR="00535FE7">
        <w:rPr>
          <w:rFonts w:asciiTheme="minorEastAsia" w:hAnsiTheme="minorEastAsia" w:cs="Times New Roman" w:hint="eastAsia"/>
          <w:sz w:val="24"/>
          <w:szCs w:val="24"/>
        </w:rPr>
        <w:t>民事</w:t>
      </w:r>
      <w:r w:rsidR="00E54A42" w:rsidRPr="00E54A42">
        <w:rPr>
          <w:rFonts w:asciiTheme="minorEastAsia" w:hAnsiTheme="minorEastAsia" w:cs="Times New Roman" w:hint="eastAsia"/>
          <w:sz w:val="24"/>
          <w:szCs w:val="24"/>
        </w:rPr>
        <w:t>侵权责任。</w:t>
      </w:r>
      <w:r w:rsidR="00535FE7" w:rsidRPr="00E54A42">
        <w:rPr>
          <w:rFonts w:asciiTheme="minorEastAsia" w:hAnsiTheme="minorEastAsia" w:cs="Times New Roman" w:hint="eastAsia"/>
          <w:sz w:val="24"/>
          <w:szCs w:val="24"/>
        </w:rPr>
        <w:t>举证责任的倒置，为个人信息处理者增加了更强的证明责任</w:t>
      </w:r>
      <w:r w:rsidR="00535FE7">
        <w:rPr>
          <w:rFonts w:asciiTheme="minorEastAsia" w:hAnsiTheme="minorEastAsia" w:cs="Times New Roman" w:hint="eastAsia"/>
          <w:sz w:val="24"/>
          <w:szCs w:val="24"/>
        </w:rPr>
        <w:t>，</w:t>
      </w:r>
      <w:r w:rsidR="00535FE7" w:rsidRPr="00E54A42">
        <w:rPr>
          <w:rFonts w:asciiTheme="minorEastAsia" w:hAnsiTheme="minorEastAsia" w:cs="Times New Roman" w:hint="eastAsia"/>
          <w:sz w:val="24"/>
          <w:szCs w:val="24"/>
        </w:rPr>
        <w:t>这也使得个人信息处理者应诉成本显著增加，承担民事侵权责任的风险显著提高。</w:t>
      </w:r>
      <w:r w:rsidR="00516A09">
        <w:rPr>
          <w:rFonts w:asciiTheme="minorEastAsia" w:hAnsiTheme="minorEastAsia" w:cs="Times New Roman" w:hint="eastAsia"/>
          <w:sz w:val="24"/>
          <w:szCs w:val="24"/>
        </w:rPr>
        <w:t>在司法实践中，</w:t>
      </w:r>
      <w:r w:rsidR="00193139">
        <w:rPr>
          <w:rFonts w:asciiTheme="minorEastAsia" w:hAnsiTheme="minorEastAsia" w:cs="Times New Roman" w:hint="eastAsia"/>
          <w:sz w:val="24"/>
          <w:szCs w:val="24"/>
        </w:rPr>
        <w:t>相关案例显示</w:t>
      </w:r>
      <w:r w:rsidR="0058088C">
        <w:rPr>
          <w:rFonts w:asciiTheme="minorEastAsia" w:hAnsiTheme="minorEastAsia" w:cs="Times New Roman" w:hint="eastAsia"/>
          <w:sz w:val="24"/>
          <w:szCs w:val="24"/>
        </w:rPr>
        <w:t>互联网企业在处理个人信息过程中</w:t>
      </w:r>
      <w:r w:rsidR="00DD782F">
        <w:rPr>
          <w:rFonts w:asciiTheme="minorEastAsia" w:hAnsiTheme="minorEastAsia" w:cs="Times New Roman" w:hint="eastAsia"/>
          <w:sz w:val="24"/>
          <w:szCs w:val="24"/>
        </w:rPr>
        <w:t>因无法证明</w:t>
      </w:r>
      <w:r w:rsidR="0058088C">
        <w:rPr>
          <w:rFonts w:asciiTheme="minorEastAsia" w:hAnsiTheme="minorEastAsia" w:cs="Times New Roman" w:hint="eastAsia"/>
          <w:sz w:val="24"/>
          <w:szCs w:val="24"/>
        </w:rPr>
        <w:t>不存在过错</w:t>
      </w:r>
      <w:r w:rsidR="00DD782F">
        <w:rPr>
          <w:rFonts w:asciiTheme="minorEastAsia" w:hAnsiTheme="minorEastAsia" w:cs="Times New Roman" w:hint="eastAsia"/>
          <w:sz w:val="24"/>
          <w:szCs w:val="24"/>
        </w:rPr>
        <w:t>而承担相应的民事责任</w:t>
      </w:r>
      <w:r w:rsidR="00193139">
        <w:rPr>
          <w:rFonts w:asciiTheme="minorEastAsia" w:hAnsiTheme="minorEastAsia" w:cs="Times New Roman" w:hint="eastAsia"/>
          <w:sz w:val="24"/>
          <w:szCs w:val="24"/>
        </w:rPr>
        <w:t>。</w:t>
      </w:r>
      <w:r w:rsidR="00193139">
        <w:rPr>
          <w:rStyle w:val="a7"/>
          <w:rFonts w:asciiTheme="minorEastAsia" w:hAnsiTheme="minorEastAsia" w:cs="Times New Roman"/>
          <w:sz w:val="24"/>
          <w:szCs w:val="24"/>
        </w:rPr>
        <w:footnoteReference w:id="1"/>
      </w:r>
    </w:p>
    <w:p w:rsidR="00F05A5F" w:rsidRDefault="00F05A5F" w:rsidP="00FA07F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第二，</w:t>
      </w:r>
      <w:r w:rsidR="006A2393">
        <w:rPr>
          <w:rFonts w:asciiTheme="minorEastAsia" w:hAnsiTheme="minorEastAsia" w:cs="Times New Roman" w:hint="eastAsia"/>
          <w:sz w:val="24"/>
          <w:szCs w:val="24"/>
        </w:rPr>
        <w:t>在救济途径方面，《个保法》</w:t>
      </w:r>
      <w:r w:rsidR="006A2393" w:rsidRPr="006A2393">
        <w:rPr>
          <w:rFonts w:asciiTheme="minorEastAsia" w:hAnsiTheme="minorEastAsia" w:cs="Times New Roman" w:hint="eastAsia"/>
          <w:sz w:val="24"/>
          <w:szCs w:val="24"/>
        </w:rPr>
        <w:t>对侵犯众多个人信息权益的</w:t>
      </w:r>
      <w:r w:rsidR="006A2393">
        <w:rPr>
          <w:rFonts w:asciiTheme="minorEastAsia" w:hAnsiTheme="minorEastAsia" w:cs="Times New Roman" w:hint="eastAsia"/>
          <w:sz w:val="24"/>
          <w:szCs w:val="24"/>
        </w:rPr>
        <w:t>案件设立公益诉讼。</w:t>
      </w:r>
      <w:r w:rsidR="005E54C8" w:rsidRPr="005E54C8">
        <w:rPr>
          <w:rFonts w:asciiTheme="minorEastAsia" w:hAnsiTheme="minorEastAsia" w:cs="Times New Roman" w:hint="eastAsia"/>
          <w:sz w:val="24"/>
          <w:szCs w:val="24"/>
        </w:rPr>
        <w:t>在侵害个人信息</w:t>
      </w:r>
      <w:r w:rsidR="0064519E">
        <w:rPr>
          <w:rFonts w:asciiTheme="minorEastAsia" w:hAnsiTheme="minorEastAsia" w:cs="Times New Roman" w:hint="eastAsia"/>
          <w:sz w:val="24"/>
          <w:szCs w:val="24"/>
        </w:rPr>
        <w:t>权益</w:t>
      </w:r>
      <w:r w:rsidR="005E54C8" w:rsidRPr="005E54C8">
        <w:rPr>
          <w:rFonts w:asciiTheme="minorEastAsia" w:hAnsiTheme="minorEastAsia" w:cs="Times New Roman" w:hint="eastAsia"/>
          <w:sz w:val="24"/>
          <w:szCs w:val="24"/>
        </w:rPr>
        <w:t>的案件中，原告（被</w:t>
      </w:r>
      <w:r w:rsidR="00F2561A">
        <w:rPr>
          <w:rFonts w:asciiTheme="minorEastAsia" w:hAnsiTheme="minorEastAsia" w:cs="Times New Roman" w:hint="eastAsia"/>
          <w:sz w:val="24"/>
          <w:szCs w:val="24"/>
        </w:rPr>
        <w:t>侵权</w:t>
      </w:r>
      <w:r w:rsidR="005E54C8" w:rsidRPr="005E54C8">
        <w:rPr>
          <w:rFonts w:asciiTheme="minorEastAsia" w:hAnsiTheme="minorEastAsia" w:cs="Times New Roman" w:hint="eastAsia"/>
          <w:sz w:val="24"/>
          <w:szCs w:val="24"/>
        </w:rPr>
        <w:t>人）往往是</w:t>
      </w:r>
      <w:r w:rsidR="00B14021">
        <w:rPr>
          <w:rFonts w:asciiTheme="minorEastAsia" w:hAnsiTheme="minorEastAsia" w:cs="Times New Roman" w:hint="eastAsia"/>
          <w:sz w:val="24"/>
          <w:szCs w:val="24"/>
        </w:rPr>
        <w:t>个人信息权益的</w:t>
      </w:r>
      <w:r w:rsidR="00F2561A">
        <w:rPr>
          <w:rFonts w:asciiTheme="minorEastAsia" w:hAnsiTheme="minorEastAsia" w:cs="Times New Roman" w:hint="eastAsia"/>
          <w:sz w:val="24"/>
          <w:szCs w:val="24"/>
        </w:rPr>
        <w:t>所有</w:t>
      </w:r>
      <w:r w:rsidR="00B14021">
        <w:rPr>
          <w:rFonts w:asciiTheme="minorEastAsia" w:hAnsiTheme="minorEastAsia" w:cs="Times New Roman" w:hint="eastAsia"/>
          <w:sz w:val="24"/>
          <w:szCs w:val="24"/>
        </w:rPr>
        <w:t>人（</w:t>
      </w:r>
      <w:r w:rsidR="005E54C8" w:rsidRPr="005E54C8">
        <w:rPr>
          <w:rFonts w:asciiTheme="minorEastAsia" w:hAnsiTheme="minorEastAsia" w:cs="Times New Roman" w:hint="eastAsia"/>
          <w:sz w:val="24"/>
          <w:szCs w:val="24"/>
        </w:rPr>
        <w:t>自然人</w:t>
      </w:r>
      <w:r w:rsidR="00B14021">
        <w:rPr>
          <w:rFonts w:asciiTheme="minorEastAsia" w:hAnsiTheme="minorEastAsia" w:cs="Times New Roman" w:hint="eastAsia"/>
          <w:sz w:val="24"/>
          <w:szCs w:val="24"/>
        </w:rPr>
        <w:t>）</w:t>
      </w:r>
      <w:r w:rsidR="005E54C8" w:rsidRPr="005E54C8">
        <w:rPr>
          <w:rFonts w:asciiTheme="minorEastAsia" w:hAnsiTheme="minorEastAsia" w:cs="Times New Roman" w:hint="eastAsia"/>
          <w:sz w:val="24"/>
          <w:szCs w:val="24"/>
        </w:rPr>
        <w:t>。由于受到时间精力、财力物力的限制，加</w:t>
      </w:r>
      <w:r w:rsidR="00B817EF">
        <w:rPr>
          <w:rFonts w:asciiTheme="minorEastAsia" w:hAnsiTheme="minorEastAsia" w:cs="Times New Roman" w:hint="eastAsia"/>
          <w:sz w:val="24"/>
          <w:szCs w:val="24"/>
        </w:rPr>
        <w:t>之</w:t>
      </w:r>
      <w:r w:rsidR="005E54C8" w:rsidRPr="005E54C8">
        <w:rPr>
          <w:rFonts w:asciiTheme="minorEastAsia" w:hAnsiTheme="minorEastAsia" w:cs="Times New Roman" w:hint="eastAsia"/>
          <w:sz w:val="24"/>
          <w:szCs w:val="24"/>
        </w:rPr>
        <w:t>当今对个人信息的处理往往</w:t>
      </w:r>
      <w:r w:rsidR="00B817EF">
        <w:rPr>
          <w:rFonts w:asciiTheme="minorEastAsia" w:hAnsiTheme="minorEastAsia" w:cs="Times New Roman" w:hint="eastAsia"/>
          <w:sz w:val="24"/>
          <w:szCs w:val="24"/>
        </w:rPr>
        <w:t>牵涉</w:t>
      </w:r>
      <w:r w:rsidR="006E1AE1">
        <w:rPr>
          <w:rFonts w:asciiTheme="minorEastAsia" w:hAnsiTheme="minorEastAsia" w:cs="Times New Roman" w:hint="eastAsia"/>
          <w:sz w:val="24"/>
          <w:szCs w:val="24"/>
        </w:rPr>
        <w:t>互联网专业技术</w:t>
      </w:r>
      <w:r w:rsidR="005E54C8" w:rsidRPr="005E54C8">
        <w:rPr>
          <w:rFonts w:asciiTheme="minorEastAsia" w:hAnsiTheme="minorEastAsia" w:cs="Times New Roman" w:hint="eastAsia"/>
          <w:sz w:val="24"/>
          <w:szCs w:val="24"/>
        </w:rPr>
        <w:t>，</w:t>
      </w:r>
      <w:r w:rsidR="006E1AE1">
        <w:rPr>
          <w:rFonts w:asciiTheme="minorEastAsia" w:hAnsiTheme="minorEastAsia" w:cs="Times New Roman" w:hint="eastAsia"/>
          <w:sz w:val="24"/>
          <w:szCs w:val="24"/>
        </w:rPr>
        <w:t>因此</w:t>
      </w:r>
      <w:r w:rsidR="005E54C8" w:rsidRPr="005E54C8">
        <w:rPr>
          <w:rFonts w:asciiTheme="minorEastAsia" w:hAnsiTheme="minorEastAsia" w:cs="Times New Roman" w:hint="eastAsia"/>
          <w:sz w:val="24"/>
          <w:szCs w:val="24"/>
        </w:rPr>
        <w:t>自然人在主张侵权损害赔偿时，</w:t>
      </w:r>
      <w:r w:rsidR="006E1AE1" w:rsidRPr="005E54C8">
        <w:rPr>
          <w:rFonts w:asciiTheme="minorEastAsia" w:hAnsiTheme="minorEastAsia" w:cs="Times New Roman" w:hint="eastAsia"/>
          <w:sz w:val="24"/>
          <w:szCs w:val="24"/>
        </w:rPr>
        <w:t>往往</w:t>
      </w:r>
      <w:r w:rsidR="005E54C8" w:rsidRPr="005E54C8">
        <w:rPr>
          <w:rFonts w:asciiTheme="minorEastAsia" w:hAnsiTheme="minorEastAsia" w:cs="Times New Roman" w:hint="eastAsia"/>
          <w:sz w:val="24"/>
          <w:szCs w:val="24"/>
        </w:rPr>
        <w:t>在调查取证上</w:t>
      </w:r>
      <w:r w:rsidR="00781369">
        <w:rPr>
          <w:rFonts w:asciiTheme="minorEastAsia" w:hAnsiTheme="minorEastAsia" w:cs="Times New Roman" w:hint="eastAsia"/>
          <w:sz w:val="24"/>
          <w:szCs w:val="24"/>
        </w:rPr>
        <w:t>遇到相当大的障碍而</w:t>
      </w:r>
      <w:r w:rsidR="005E54C8" w:rsidRPr="005E54C8">
        <w:rPr>
          <w:rFonts w:asciiTheme="minorEastAsia" w:hAnsiTheme="minorEastAsia" w:cs="Times New Roman" w:hint="eastAsia"/>
          <w:sz w:val="24"/>
          <w:szCs w:val="24"/>
        </w:rPr>
        <w:t>难以获得理想的效果。</w:t>
      </w:r>
      <w:r w:rsidR="0010623C">
        <w:rPr>
          <w:rFonts w:asciiTheme="minorEastAsia" w:hAnsiTheme="minorEastAsia" w:cs="Times New Roman" w:hint="eastAsia"/>
          <w:sz w:val="24"/>
          <w:szCs w:val="24"/>
        </w:rPr>
        <w:t>《个保法》第七十条</w:t>
      </w:r>
      <w:r w:rsidR="00004BB9">
        <w:rPr>
          <w:rFonts w:asciiTheme="minorEastAsia" w:hAnsiTheme="minorEastAsia" w:cs="Times New Roman" w:hint="eastAsia"/>
          <w:sz w:val="24"/>
          <w:szCs w:val="24"/>
        </w:rPr>
        <w:t>针对</w:t>
      </w:r>
      <w:r w:rsidR="00004BB9" w:rsidRPr="00004BB9">
        <w:rPr>
          <w:rFonts w:asciiTheme="minorEastAsia" w:hAnsiTheme="minorEastAsia" w:cs="Times New Roman" w:hint="eastAsia"/>
          <w:sz w:val="24"/>
          <w:szCs w:val="24"/>
        </w:rPr>
        <w:t>侵犯众多个人信息权益的</w:t>
      </w:r>
      <w:r w:rsidR="00004BB9">
        <w:rPr>
          <w:rFonts w:asciiTheme="minorEastAsia" w:hAnsiTheme="minorEastAsia" w:cs="Times New Roman" w:hint="eastAsia"/>
          <w:sz w:val="24"/>
          <w:szCs w:val="24"/>
        </w:rPr>
        <w:t>行为</w:t>
      </w:r>
      <w:r w:rsidR="00801147">
        <w:rPr>
          <w:rFonts w:asciiTheme="minorEastAsia" w:hAnsiTheme="minorEastAsia" w:cs="Times New Roman" w:hint="eastAsia"/>
          <w:sz w:val="24"/>
          <w:szCs w:val="24"/>
        </w:rPr>
        <w:t>，允许以检察院等机关或组织为原告</w:t>
      </w:r>
      <w:r w:rsidR="00004BB9" w:rsidRPr="00004BB9">
        <w:rPr>
          <w:rFonts w:asciiTheme="minorEastAsia" w:hAnsiTheme="minorEastAsia" w:cs="Times New Roman" w:hint="eastAsia"/>
          <w:sz w:val="24"/>
          <w:szCs w:val="24"/>
        </w:rPr>
        <w:t>向人民法院提起公益诉讼。</w:t>
      </w:r>
      <w:r w:rsidR="00194F84" w:rsidRPr="00194F84">
        <w:rPr>
          <w:rFonts w:asciiTheme="minorEastAsia" w:hAnsiTheme="minorEastAsia" w:cs="Times New Roman" w:hint="eastAsia"/>
          <w:sz w:val="24"/>
          <w:szCs w:val="24"/>
        </w:rPr>
        <w:t>相较于自然人极其有限的调查取</w:t>
      </w:r>
      <w:r w:rsidR="007B61BB">
        <w:rPr>
          <w:rFonts w:asciiTheme="minorEastAsia" w:hAnsiTheme="minorEastAsia" w:cs="Times New Roman" w:hint="eastAsia"/>
          <w:sz w:val="24"/>
          <w:szCs w:val="24"/>
        </w:rPr>
        <w:t>证手段，《</w:t>
      </w:r>
      <w:bookmarkStart w:id="1" w:name="OLE_LINK7"/>
      <w:r w:rsidR="007B61BB">
        <w:rPr>
          <w:rFonts w:asciiTheme="minorEastAsia" w:hAnsiTheme="minorEastAsia" w:cs="Times New Roman" w:hint="eastAsia"/>
          <w:sz w:val="24"/>
          <w:szCs w:val="24"/>
        </w:rPr>
        <w:t>人民检察院公益诉讼办案规则</w:t>
      </w:r>
      <w:bookmarkEnd w:id="1"/>
      <w:r w:rsidR="007B61BB">
        <w:rPr>
          <w:rFonts w:asciiTheme="minorEastAsia" w:hAnsiTheme="minorEastAsia" w:cs="Times New Roman" w:hint="eastAsia"/>
          <w:sz w:val="24"/>
          <w:szCs w:val="24"/>
        </w:rPr>
        <w:t>》</w:t>
      </w:r>
      <w:r w:rsidR="00200888">
        <w:rPr>
          <w:rFonts w:asciiTheme="minorEastAsia" w:hAnsiTheme="minorEastAsia" w:cs="Times New Roman" w:hint="eastAsia"/>
          <w:sz w:val="24"/>
          <w:szCs w:val="24"/>
        </w:rPr>
        <w:t>（以下简称“《公益诉讼规则》”）</w:t>
      </w:r>
      <w:r w:rsidR="007B61BB">
        <w:rPr>
          <w:rFonts w:asciiTheme="minorEastAsia" w:hAnsiTheme="minorEastAsia" w:cs="Times New Roman" w:hint="eastAsia"/>
          <w:sz w:val="24"/>
          <w:szCs w:val="24"/>
        </w:rPr>
        <w:t>第三十五条第一款赋予了检察机关</w:t>
      </w:r>
      <w:r w:rsidR="00194F84" w:rsidRPr="00194F84">
        <w:rPr>
          <w:rFonts w:asciiTheme="minorEastAsia" w:hAnsiTheme="minorEastAsia" w:cs="Times New Roman" w:hint="eastAsia"/>
          <w:sz w:val="24"/>
          <w:szCs w:val="24"/>
        </w:rPr>
        <w:t>更为</w:t>
      </w:r>
      <w:r w:rsidR="00C7083B">
        <w:rPr>
          <w:rFonts w:asciiTheme="minorEastAsia" w:hAnsiTheme="minorEastAsia" w:cs="Times New Roman" w:hint="eastAsia"/>
          <w:sz w:val="24"/>
          <w:szCs w:val="24"/>
        </w:rPr>
        <w:t>有效</w:t>
      </w:r>
      <w:r w:rsidR="00194F84" w:rsidRPr="00194F84">
        <w:rPr>
          <w:rFonts w:asciiTheme="minorEastAsia" w:hAnsiTheme="minorEastAsia" w:cs="Times New Roman" w:hint="eastAsia"/>
          <w:sz w:val="24"/>
          <w:szCs w:val="24"/>
        </w:rPr>
        <w:t>的调查取证手段。</w:t>
      </w:r>
      <w:r w:rsidR="004B1813">
        <w:rPr>
          <w:rFonts w:asciiTheme="minorEastAsia" w:hAnsiTheme="minorEastAsia" w:cs="Times New Roman" w:hint="eastAsia"/>
          <w:sz w:val="24"/>
          <w:szCs w:val="24"/>
        </w:rPr>
        <w:t>一方面</w:t>
      </w:r>
      <w:r w:rsidR="007B61BB">
        <w:rPr>
          <w:rFonts w:asciiTheme="minorEastAsia" w:hAnsiTheme="minorEastAsia" w:cs="Times New Roman" w:hint="eastAsia"/>
          <w:sz w:val="24"/>
          <w:szCs w:val="24"/>
        </w:rPr>
        <w:t>，检察机关</w:t>
      </w:r>
      <w:r w:rsidR="00194F84" w:rsidRPr="00194F84">
        <w:rPr>
          <w:rFonts w:asciiTheme="minorEastAsia" w:hAnsiTheme="minorEastAsia" w:cs="Times New Roman" w:hint="eastAsia"/>
          <w:sz w:val="24"/>
          <w:szCs w:val="24"/>
        </w:rPr>
        <w:t>可以向有关单位和个人询问情况、收集证据、勘验现场，相较于个人取证，有关单位和个人的配合程度更高，取得有利证据的可能性更大。</w:t>
      </w:r>
      <w:r w:rsidR="007B61BB">
        <w:rPr>
          <w:rFonts w:asciiTheme="minorEastAsia" w:hAnsiTheme="minorEastAsia" w:cs="Times New Roman" w:hint="eastAsia"/>
          <w:sz w:val="24"/>
          <w:szCs w:val="24"/>
        </w:rPr>
        <w:t>另一方面，检察机关</w:t>
      </w:r>
      <w:r w:rsidR="00194F84" w:rsidRPr="00194F84">
        <w:rPr>
          <w:rFonts w:asciiTheme="minorEastAsia" w:hAnsiTheme="minorEastAsia" w:cs="Times New Roman" w:hint="eastAsia"/>
          <w:sz w:val="24"/>
          <w:szCs w:val="24"/>
        </w:rPr>
        <w:t>可以咨询专业人员或专业机构，委托鉴定、评估等，以获取有利证据，而自然人往往缺乏财力和资源采取这些手段的。</w:t>
      </w:r>
      <w:r w:rsidR="00463AFF">
        <w:rPr>
          <w:rFonts w:asciiTheme="minorEastAsia" w:hAnsiTheme="minorEastAsia" w:cs="Times New Roman" w:hint="eastAsia"/>
          <w:sz w:val="24"/>
          <w:szCs w:val="24"/>
        </w:rPr>
        <w:t>因此，在检察机关</w:t>
      </w:r>
      <w:r w:rsidR="00FA07F2">
        <w:rPr>
          <w:rFonts w:asciiTheme="minorEastAsia" w:hAnsiTheme="minorEastAsia" w:cs="Times New Roman" w:hint="eastAsia"/>
          <w:sz w:val="24"/>
          <w:szCs w:val="24"/>
        </w:rPr>
        <w:t>提起</w:t>
      </w:r>
      <w:r w:rsidR="00194F84" w:rsidRPr="00194F84">
        <w:rPr>
          <w:rFonts w:asciiTheme="minorEastAsia" w:hAnsiTheme="minorEastAsia" w:cs="Times New Roman" w:hint="eastAsia"/>
          <w:sz w:val="24"/>
          <w:szCs w:val="24"/>
        </w:rPr>
        <w:t>公益诉讼的情况下，原告调查取证的能力更为强大，更加有可能取得证明涉案企业</w:t>
      </w:r>
      <w:r w:rsidR="00463AFF">
        <w:rPr>
          <w:rFonts w:asciiTheme="minorEastAsia" w:hAnsiTheme="minorEastAsia" w:cs="Times New Roman" w:hint="eastAsia"/>
          <w:sz w:val="24"/>
          <w:szCs w:val="24"/>
        </w:rPr>
        <w:t>民事</w:t>
      </w:r>
      <w:r w:rsidR="00194F84" w:rsidRPr="00194F84">
        <w:rPr>
          <w:rFonts w:asciiTheme="minorEastAsia" w:hAnsiTheme="minorEastAsia" w:cs="Times New Roman" w:hint="eastAsia"/>
          <w:sz w:val="24"/>
          <w:szCs w:val="24"/>
        </w:rPr>
        <w:t>责任的证据。</w:t>
      </w:r>
    </w:p>
    <w:p w:rsidR="00463AFF" w:rsidRPr="00463AFF" w:rsidRDefault="00A27833" w:rsidP="00463AFF">
      <w:pPr>
        <w:pStyle w:val="a5"/>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公益诉讼</w:t>
      </w:r>
      <w:r w:rsidR="00A35D8E">
        <w:rPr>
          <w:rFonts w:asciiTheme="minorEastAsia" w:hAnsiTheme="minorEastAsia" w:hint="eastAsia"/>
          <w:b/>
          <w:sz w:val="24"/>
          <w:szCs w:val="24"/>
        </w:rPr>
        <w:t>对涉案企业的不利影响</w:t>
      </w:r>
    </w:p>
    <w:p w:rsidR="000E2526" w:rsidRDefault="00FA7E20" w:rsidP="00D25EBF">
      <w:pPr>
        <w:spacing w:line="360" w:lineRule="auto"/>
        <w:ind w:firstLineChars="200" w:firstLine="480"/>
        <w:rPr>
          <w:rFonts w:asciiTheme="minorEastAsia" w:hAnsiTheme="minorEastAsia" w:cs="Times New Roman"/>
          <w:sz w:val="24"/>
          <w:szCs w:val="24"/>
        </w:rPr>
      </w:pPr>
      <w:r w:rsidRPr="0026445D">
        <w:rPr>
          <w:rFonts w:asciiTheme="minorEastAsia" w:hAnsiTheme="minorEastAsia" w:cs="Times New Roman" w:hint="eastAsia"/>
          <w:sz w:val="24"/>
          <w:szCs w:val="24"/>
        </w:rPr>
        <w:t>相较于民事责任的一般救济途径，公益诉讼具有更强的政府监管色彩，</w:t>
      </w:r>
      <w:r w:rsidR="00950D1C">
        <w:rPr>
          <w:rFonts w:asciiTheme="minorEastAsia" w:hAnsiTheme="minorEastAsia" w:cs="Times New Roman" w:hint="eastAsia"/>
          <w:sz w:val="24"/>
          <w:szCs w:val="24"/>
        </w:rPr>
        <w:t>其独特的运行机制在一定程度上导致</w:t>
      </w:r>
      <w:r w:rsidR="0026445D" w:rsidRPr="0026445D">
        <w:rPr>
          <w:rFonts w:asciiTheme="minorEastAsia" w:hAnsiTheme="minorEastAsia" w:cs="Times New Roman" w:hint="eastAsia"/>
          <w:sz w:val="24"/>
          <w:szCs w:val="24"/>
        </w:rPr>
        <w:t>涉案企业面临更为不利的后果。</w:t>
      </w:r>
    </w:p>
    <w:p w:rsidR="00D25EBF" w:rsidRDefault="00D25EBF" w:rsidP="00C744CD">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第一，涉案企业所面临的赔偿数额量级更高，达到</w:t>
      </w:r>
      <w:r w:rsidRPr="00D25EBF">
        <w:rPr>
          <w:rFonts w:asciiTheme="minorEastAsia" w:hAnsiTheme="minorEastAsia" w:cs="Times New Roman" w:hint="eastAsia"/>
          <w:sz w:val="24"/>
          <w:szCs w:val="24"/>
        </w:rPr>
        <w:t>“1+1＞2”的效果</w:t>
      </w:r>
      <w:r w:rsidR="00C744CD">
        <w:rPr>
          <w:rFonts w:asciiTheme="minorEastAsia" w:hAnsiTheme="minorEastAsia" w:cs="Times New Roman" w:hint="eastAsia"/>
          <w:sz w:val="24"/>
          <w:szCs w:val="24"/>
        </w:rPr>
        <w:t>。</w:t>
      </w:r>
      <w:r w:rsidRPr="00D25EBF">
        <w:rPr>
          <w:rFonts w:asciiTheme="minorEastAsia" w:hAnsiTheme="minorEastAsia" w:cs="Times New Roman" w:hint="eastAsia"/>
          <w:sz w:val="24"/>
          <w:szCs w:val="24"/>
        </w:rPr>
        <w:t>《个保法》第七十条明确规定，提起公益诉讼的前提是“侵害众多个人的权益的”，这导致涉案企业面临的赔偿数额在量级上有明显提高。如果由受到侵害的自然人单独提起民事诉讼，不少受侵害的自然人可能没有意识到自己的个人信息受到了侵害，或者考虑到司法程序较为复杂而放弃提起诉讼。但是，在民事公益诉讼中，一方面，检察院通过公告的形式，可以让更多未能意识到个人信息受到侵害的自</w:t>
      </w:r>
      <w:r w:rsidRPr="00D25EBF">
        <w:rPr>
          <w:rFonts w:asciiTheme="minorEastAsia" w:hAnsiTheme="minorEastAsia" w:cs="Times New Roman" w:hint="eastAsia"/>
          <w:sz w:val="24"/>
          <w:szCs w:val="24"/>
        </w:rPr>
        <w:lastRenderedPageBreak/>
        <w:t>然人主张权利，另一方面，自然人的调查取证、主张赔偿的成本显著降低，促使更多受害者主张权利。因此，一旦涉案企业败诉，其承担的赔偿金额将远高于由自然人提起诉讼时其所承担的赔偿。此外，公益诉讼中检察机关更加强大的调查取证能力，可能获取更多不利于涉案企业的证据，导致涉案企业在败诉的同时承担更高的赔偿金额。同时，检察机关在调查取证时所采用的专业手段，价格相对较为高昂，一旦涉案企业败诉，将承担更高的诉讼费用。</w:t>
      </w:r>
    </w:p>
    <w:p w:rsidR="00D76FC0" w:rsidRDefault="00D76FC0" w:rsidP="00C03F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第二，</w:t>
      </w:r>
      <w:r w:rsidR="00554707">
        <w:rPr>
          <w:rFonts w:asciiTheme="minorEastAsia" w:hAnsiTheme="minorEastAsia" w:cs="Times New Roman" w:hint="eastAsia"/>
          <w:sz w:val="24"/>
          <w:szCs w:val="24"/>
        </w:rPr>
        <w:t>公益诉讼促使民事调查</w:t>
      </w:r>
      <w:r w:rsidRPr="00D76FC0">
        <w:rPr>
          <w:rFonts w:asciiTheme="minorEastAsia" w:hAnsiTheme="minorEastAsia" w:cs="Times New Roman" w:hint="eastAsia"/>
          <w:sz w:val="24"/>
          <w:szCs w:val="24"/>
        </w:rPr>
        <w:t>与行政、刑事调查的衔接更高效</w:t>
      </w:r>
      <w:r>
        <w:rPr>
          <w:rFonts w:asciiTheme="minorEastAsia" w:hAnsiTheme="minorEastAsia" w:cs="Times New Roman"/>
          <w:sz w:val="24"/>
          <w:szCs w:val="24"/>
        </w:rPr>
        <w:t>。</w:t>
      </w:r>
      <w:r w:rsidRPr="00D76FC0">
        <w:rPr>
          <w:rFonts w:asciiTheme="minorEastAsia" w:hAnsiTheme="minorEastAsia" w:cs="Times New Roman" w:hint="eastAsia"/>
          <w:sz w:val="24"/>
          <w:szCs w:val="24"/>
        </w:rPr>
        <w:t>《通知》明确要求，各级检察机关要积极稳妥办理涉及互联网平台企业的相关案件，加强与行政机关协作配合，健全行政执法与公益诉讼检察衔接机制。一方面，未来检察机关将在个人信息保护领域和有执法权的行政机关加强配合，可能采取包括证据共享在内的各种方式，推动行政执法进程加速。因此，涉案企业可能在面临人民检察院提起的民事公益诉讼的同时，还需要接受包括市场监管部门、公安部门的行政调查。另一方面，如果涉案企业被公安机关列为侵犯个人信息犯罪的刑事调查对象，除了向公安机关共享取得的证据外，由于案件</w:t>
      </w:r>
      <w:r w:rsidR="00D17420">
        <w:rPr>
          <w:rFonts w:asciiTheme="minorEastAsia" w:hAnsiTheme="minorEastAsia" w:cs="Times New Roman" w:hint="eastAsia"/>
          <w:sz w:val="24"/>
          <w:szCs w:val="24"/>
        </w:rPr>
        <w:t>证据材料相对更加完整</w:t>
      </w:r>
      <w:r w:rsidRPr="00D76FC0">
        <w:rPr>
          <w:rFonts w:asciiTheme="minorEastAsia" w:hAnsiTheme="minorEastAsia" w:cs="Times New Roman" w:hint="eastAsia"/>
          <w:sz w:val="24"/>
          <w:szCs w:val="24"/>
        </w:rPr>
        <w:t>，检察机关也可能加快审查起诉阶段的进程，使得刑事调查与民事公益诉讼、行政调查的衔接更加紧密、高效。因此，《个保法》中公益诉讼的确立，可能形成未来侵犯个人信息刑事、行政、民事责任“三管齐下”的格局，大大增加涉案企业的应对、处理成本，为企业的日常运营带来沉重负担。</w:t>
      </w:r>
    </w:p>
    <w:p w:rsidR="000E2526" w:rsidRDefault="00D76FC0" w:rsidP="00200888">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第三，</w:t>
      </w:r>
      <w:r w:rsidR="00554707">
        <w:rPr>
          <w:rFonts w:asciiTheme="minorEastAsia" w:hAnsiTheme="minorEastAsia" w:cs="Times New Roman" w:hint="eastAsia"/>
          <w:sz w:val="24"/>
          <w:szCs w:val="24"/>
        </w:rPr>
        <w:t>公益诉讼</w:t>
      </w:r>
      <w:r w:rsidR="00B04933">
        <w:rPr>
          <w:rFonts w:asciiTheme="minorEastAsia" w:hAnsiTheme="minorEastAsia" w:cs="Times New Roman" w:hint="eastAsia"/>
          <w:sz w:val="24"/>
          <w:szCs w:val="24"/>
        </w:rPr>
        <w:t>的公告机制致使</w:t>
      </w:r>
      <w:r w:rsidR="00554707">
        <w:rPr>
          <w:rFonts w:asciiTheme="minorEastAsia" w:hAnsiTheme="minorEastAsia" w:cs="Times New Roman" w:hint="eastAsia"/>
          <w:sz w:val="24"/>
          <w:szCs w:val="24"/>
        </w:rPr>
        <w:t>涉案企业</w:t>
      </w:r>
      <w:r w:rsidR="00B04933">
        <w:rPr>
          <w:rFonts w:asciiTheme="minorEastAsia" w:hAnsiTheme="minorEastAsia" w:cs="Times New Roman" w:hint="eastAsia"/>
          <w:sz w:val="24"/>
          <w:szCs w:val="24"/>
        </w:rPr>
        <w:t>面临对</w:t>
      </w:r>
      <w:r w:rsidR="00554707">
        <w:rPr>
          <w:rFonts w:asciiTheme="minorEastAsia" w:hAnsiTheme="minorEastAsia" w:cs="Times New Roman" w:hint="eastAsia"/>
          <w:sz w:val="24"/>
          <w:szCs w:val="24"/>
        </w:rPr>
        <w:t>商誉的不利影响。</w:t>
      </w:r>
      <w:r w:rsidR="00AC6A66" w:rsidRPr="00B04933">
        <w:rPr>
          <w:rFonts w:asciiTheme="minorEastAsia" w:hAnsiTheme="minorEastAsia" w:cs="Times New Roman" w:hint="eastAsia"/>
          <w:sz w:val="24"/>
          <w:szCs w:val="24"/>
        </w:rPr>
        <w:t>在现代社会的企业经营中，声誉是企业重要的“软资产”之一。在业内和公众中拥有较高声誉的企业，往往能够获得更多的商业机会，以扩张商业版图；一旦企业被曝出违法、违规等负面消息，小则股价下跌，大则因为失去公众和商业伙伴信任而走向</w:t>
      </w:r>
      <w:r w:rsidR="00D17420">
        <w:rPr>
          <w:rFonts w:asciiTheme="minorEastAsia" w:hAnsiTheme="minorEastAsia" w:cs="Times New Roman" w:hint="eastAsia"/>
          <w:sz w:val="24"/>
          <w:szCs w:val="24"/>
        </w:rPr>
        <w:t>没落</w:t>
      </w:r>
      <w:r w:rsidR="00AC6A66" w:rsidRPr="00B04933">
        <w:rPr>
          <w:rFonts w:asciiTheme="minorEastAsia" w:hAnsiTheme="minorEastAsia" w:cs="Times New Roman" w:hint="eastAsia"/>
          <w:sz w:val="24"/>
          <w:szCs w:val="24"/>
        </w:rPr>
        <w:t>。与普通的民事诉讼不同，《公益诉讼规则》第九十一条明确规定，民事公益诉讼中，人民检察院认为社会公共利益受到损害，存在违法行为的，应当在具有全国影响的媒体发布公告，公告期间为三十日。相关企业一旦因为侵害公民个人信息而被人民检察院提起公益诉讼，除了可能的侵权损害赔偿外，还可能面临巨大的声誉损失和商业机会损失。</w:t>
      </w:r>
    </w:p>
    <w:p w:rsidR="000E2526" w:rsidRPr="00804E32" w:rsidRDefault="00524864" w:rsidP="00804E32">
      <w:pPr>
        <w:spacing w:beforeLines="50" w:before="156" w:afterLines="50" w:after="156" w:line="360" w:lineRule="auto"/>
        <w:ind w:firstLineChars="200" w:firstLine="482"/>
        <w:rPr>
          <w:rFonts w:asciiTheme="minorEastAsia" w:hAnsiTheme="minorEastAsia"/>
          <w:b/>
          <w:sz w:val="24"/>
          <w:szCs w:val="24"/>
        </w:rPr>
      </w:pPr>
      <w:r>
        <w:rPr>
          <w:rFonts w:asciiTheme="minorEastAsia" w:hAnsiTheme="minorEastAsia" w:hint="eastAsia"/>
          <w:b/>
          <w:sz w:val="24"/>
          <w:szCs w:val="24"/>
        </w:rPr>
        <w:t>二</w:t>
      </w:r>
      <w:r w:rsidRPr="007560DD">
        <w:rPr>
          <w:rFonts w:asciiTheme="minorEastAsia" w:hAnsiTheme="minorEastAsia" w:hint="eastAsia"/>
          <w:b/>
          <w:sz w:val="24"/>
          <w:szCs w:val="24"/>
        </w:rPr>
        <w:t>、</w:t>
      </w:r>
      <w:proofErr w:type="gramStart"/>
      <w:r w:rsidR="002E4131">
        <w:rPr>
          <w:rFonts w:asciiTheme="minorEastAsia" w:hAnsiTheme="minorEastAsia" w:hint="eastAsia"/>
          <w:b/>
          <w:sz w:val="24"/>
          <w:szCs w:val="24"/>
        </w:rPr>
        <w:t>互金企业</w:t>
      </w:r>
      <w:proofErr w:type="gramEnd"/>
      <w:r w:rsidR="0092133F">
        <w:rPr>
          <w:rFonts w:asciiTheme="minorEastAsia" w:hAnsiTheme="minorEastAsia" w:hint="eastAsia"/>
          <w:b/>
          <w:sz w:val="24"/>
          <w:szCs w:val="24"/>
        </w:rPr>
        <w:t>降低</w:t>
      </w:r>
      <w:r w:rsidR="0092133F" w:rsidRPr="0092133F">
        <w:rPr>
          <w:rFonts w:asciiTheme="minorEastAsia" w:hAnsiTheme="minorEastAsia" w:hint="eastAsia"/>
          <w:b/>
          <w:sz w:val="24"/>
          <w:szCs w:val="24"/>
        </w:rPr>
        <w:t>个人信息保护</w:t>
      </w:r>
      <w:r w:rsidR="0092133F">
        <w:rPr>
          <w:rFonts w:asciiTheme="minorEastAsia" w:hAnsiTheme="minorEastAsia" w:hint="eastAsia"/>
          <w:b/>
          <w:sz w:val="24"/>
          <w:szCs w:val="24"/>
        </w:rPr>
        <w:t>项下</w:t>
      </w:r>
      <w:r w:rsidR="002E4131">
        <w:rPr>
          <w:rFonts w:asciiTheme="minorEastAsia" w:hAnsiTheme="minorEastAsia" w:hint="eastAsia"/>
          <w:b/>
          <w:sz w:val="24"/>
          <w:szCs w:val="24"/>
        </w:rPr>
        <w:t>民事</w:t>
      </w:r>
      <w:r w:rsidR="0092133F">
        <w:rPr>
          <w:rFonts w:asciiTheme="minorEastAsia" w:hAnsiTheme="minorEastAsia" w:hint="eastAsia"/>
          <w:b/>
          <w:sz w:val="24"/>
          <w:szCs w:val="24"/>
        </w:rPr>
        <w:t>法律风险</w:t>
      </w:r>
      <w:r w:rsidR="002E4131">
        <w:rPr>
          <w:rFonts w:asciiTheme="minorEastAsia" w:hAnsiTheme="minorEastAsia" w:hint="eastAsia"/>
          <w:b/>
          <w:sz w:val="24"/>
          <w:szCs w:val="24"/>
        </w:rPr>
        <w:t>的</w:t>
      </w:r>
      <w:r w:rsidR="00F92835">
        <w:rPr>
          <w:rFonts w:asciiTheme="minorEastAsia" w:hAnsiTheme="minorEastAsia" w:hint="eastAsia"/>
          <w:b/>
          <w:sz w:val="24"/>
          <w:szCs w:val="24"/>
        </w:rPr>
        <w:t>合</w:t>
      </w:r>
      <w:proofErr w:type="gramStart"/>
      <w:r w:rsidR="00F92835">
        <w:rPr>
          <w:rFonts w:asciiTheme="minorEastAsia" w:hAnsiTheme="minorEastAsia" w:hint="eastAsia"/>
          <w:b/>
          <w:sz w:val="24"/>
          <w:szCs w:val="24"/>
        </w:rPr>
        <w:t>规</w:t>
      </w:r>
      <w:proofErr w:type="gramEnd"/>
      <w:r w:rsidR="002E4131">
        <w:rPr>
          <w:rFonts w:asciiTheme="minorEastAsia" w:hAnsiTheme="minorEastAsia" w:hint="eastAsia"/>
          <w:b/>
          <w:sz w:val="24"/>
          <w:szCs w:val="24"/>
        </w:rPr>
        <w:t>方案</w:t>
      </w:r>
    </w:p>
    <w:p w:rsidR="007B4094" w:rsidRDefault="00AC6A66" w:rsidP="00B92C2A">
      <w:pPr>
        <w:spacing w:line="360" w:lineRule="auto"/>
        <w:ind w:firstLineChars="200" w:firstLine="420"/>
        <w:rPr>
          <w:rFonts w:asciiTheme="minorEastAsia" w:hAnsiTheme="minorEastAsia" w:cs="Times New Roman"/>
          <w:sz w:val="24"/>
          <w:szCs w:val="24"/>
        </w:rPr>
      </w:pPr>
      <w:r>
        <w:rPr>
          <w:rFonts w:hint="eastAsia"/>
        </w:rPr>
        <w:t xml:space="preserve"> </w:t>
      </w:r>
      <w:r>
        <w:t xml:space="preserve">   </w:t>
      </w:r>
      <w:r w:rsidR="00B92C2A" w:rsidRPr="00B92C2A">
        <w:rPr>
          <w:rFonts w:asciiTheme="minorEastAsia" w:hAnsiTheme="minorEastAsia" w:cs="Times New Roman" w:hint="eastAsia"/>
          <w:sz w:val="24"/>
          <w:szCs w:val="24"/>
        </w:rPr>
        <w:t>鉴于</w:t>
      </w:r>
      <w:proofErr w:type="gramStart"/>
      <w:r w:rsidR="00B92C2A">
        <w:rPr>
          <w:rFonts w:asciiTheme="minorEastAsia" w:hAnsiTheme="minorEastAsia" w:cs="Times New Roman" w:hint="eastAsia"/>
          <w:sz w:val="24"/>
          <w:szCs w:val="24"/>
        </w:rPr>
        <w:t>互金企业</w:t>
      </w:r>
      <w:proofErr w:type="gramEnd"/>
      <w:r w:rsidR="008324BB">
        <w:rPr>
          <w:rFonts w:asciiTheme="minorEastAsia" w:hAnsiTheme="minorEastAsia" w:cs="Times New Roman" w:hint="eastAsia"/>
          <w:sz w:val="24"/>
          <w:szCs w:val="24"/>
        </w:rPr>
        <w:t>在个人信息保护项下具有较高的民事法律风险，且公益诉</w:t>
      </w:r>
      <w:r w:rsidR="008324BB">
        <w:rPr>
          <w:rFonts w:asciiTheme="minorEastAsia" w:hAnsiTheme="minorEastAsia" w:cs="Times New Roman" w:hint="eastAsia"/>
          <w:sz w:val="24"/>
          <w:szCs w:val="24"/>
        </w:rPr>
        <w:lastRenderedPageBreak/>
        <w:t>讼</w:t>
      </w:r>
      <w:r w:rsidR="0093693A">
        <w:rPr>
          <w:rFonts w:asciiTheme="minorEastAsia" w:hAnsiTheme="minorEastAsia" w:cs="Times New Roman" w:hint="eastAsia"/>
          <w:sz w:val="24"/>
          <w:szCs w:val="24"/>
        </w:rPr>
        <w:t>的救济途径在一定程度上对涉案企业造成更大范围的不利后果，</w:t>
      </w:r>
      <w:proofErr w:type="gramStart"/>
      <w:r w:rsidR="0093693A">
        <w:rPr>
          <w:rFonts w:asciiTheme="minorEastAsia" w:hAnsiTheme="minorEastAsia" w:cs="Times New Roman" w:hint="eastAsia"/>
          <w:sz w:val="24"/>
          <w:szCs w:val="24"/>
        </w:rPr>
        <w:t>互金企业</w:t>
      </w:r>
      <w:proofErr w:type="gramEnd"/>
      <w:r w:rsidR="0093693A">
        <w:rPr>
          <w:rFonts w:asciiTheme="minorEastAsia" w:hAnsiTheme="minorEastAsia" w:cs="Times New Roman" w:hint="eastAsia"/>
          <w:sz w:val="24"/>
          <w:szCs w:val="24"/>
        </w:rPr>
        <w:t>应当</w:t>
      </w:r>
      <w:r w:rsidR="00D16197">
        <w:rPr>
          <w:rFonts w:asciiTheme="minorEastAsia" w:hAnsiTheme="minorEastAsia" w:cs="Times New Roman" w:hint="eastAsia"/>
          <w:sz w:val="24"/>
          <w:szCs w:val="24"/>
        </w:rPr>
        <w:t>将</w:t>
      </w:r>
      <w:r w:rsidR="00D16197" w:rsidRPr="00D16197">
        <w:rPr>
          <w:rFonts w:asciiTheme="minorEastAsia" w:hAnsiTheme="minorEastAsia" w:cs="Times New Roman" w:hint="eastAsia"/>
          <w:sz w:val="24"/>
          <w:szCs w:val="24"/>
        </w:rPr>
        <w:t>防范民事法律风险</w:t>
      </w:r>
      <w:r w:rsidR="00D16197">
        <w:rPr>
          <w:rFonts w:asciiTheme="minorEastAsia" w:hAnsiTheme="minorEastAsia" w:cs="Times New Roman" w:hint="eastAsia"/>
          <w:sz w:val="24"/>
          <w:szCs w:val="24"/>
        </w:rPr>
        <w:t>作为</w:t>
      </w:r>
      <w:r w:rsidR="00D16197" w:rsidRPr="00D16197">
        <w:rPr>
          <w:rFonts w:asciiTheme="minorEastAsia" w:hAnsiTheme="minorEastAsia" w:cs="Times New Roman" w:hint="eastAsia"/>
          <w:sz w:val="24"/>
          <w:szCs w:val="24"/>
        </w:rPr>
        <w:t>建设个人信息保护制度的工作重点之一。</w:t>
      </w:r>
      <w:r w:rsidR="00C018F5">
        <w:rPr>
          <w:rFonts w:asciiTheme="minorEastAsia" w:hAnsiTheme="minorEastAsia" w:cs="Times New Roman" w:hint="eastAsia"/>
          <w:sz w:val="24"/>
          <w:szCs w:val="24"/>
        </w:rPr>
        <w:t>我们认为</w:t>
      </w:r>
      <w:r w:rsidR="00736395">
        <w:rPr>
          <w:rFonts w:asciiTheme="minorEastAsia" w:hAnsiTheme="minorEastAsia" w:cs="Times New Roman" w:hint="eastAsia"/>
          <w:sz w:val="24"/>
          <w:szCs w:val="24"/>
        </w:rPr>
        <w:t>，构建完善的个人信息保护合</w:t>
      </w:r>
      <w:proofErr w:type="gramStart"/>
      <w:r w:rsidR="00736395">
        <w:rPr>
          <w:rFonts w:asciiTheme="minorEastAsia" w:hAnsiTheme="minorEastAsia" w:cs="Times New Roman" w:hint="eastAsia"/>
          <w:sz w:val="24"/>
          <w:szCs w:val="24"/>
        </w:rPr>
        <w:t>规</w:t>
      </w:r>
      <w:proofErr w:type="gramEnd"/>
      <w:r w:rsidR="00736395">
        <w:rPr>
          <w:rFonts w:asciiTheme="minorEastAsia" w:hAnsiTheme="minorEastAsia" w:cs="Times New Roman" w:hint="eastAsia"/>
          <w:sz w:val="24"/>
          <w:szCs w:val="24"/>
        </w:rPr>
        <w:t>体系是降低民事</w:t>
      </w:r>
      <w:r w:rsidR="00C018F5">
        <w:rPr>
          <w:rFonts w:asciiTheme="minorEastAsia" w:hAnsiTheme="minorEastAsia" w:cs="Times New Roman" w:hint="eastAsia"/>
          <w:sz w:val="24"/>
          <w:szCs w:val="24"/>
        </w:rPr>
        <w:t>法律风险的最佳解决方案。</w:t>
      </w:r>
    </w:p>
    <w:p w:rsidR="00B7101C" w:rsidRPr="00463AFF" w:rsidRDefault="00B7101C" w:rsidP="00B7101C">
      <w:pPr>
        <w:pStyle w:val="a5"/>
        <w:numPr>
          <w:ilvl w:val="0"/>
          <w:numId w:val="3"/>
        </w:numPr>
        <w:spacing w:line="360" w:lineRule="auto"/>
        <w:ind w:firstLineChars="0"/>
        <w:rPr>
          <w:rFonts w:asciiTheme="minorEastAsia" w:hAnsiTheme="minorEastAsia"/>
          <w:b/>
          <w:sz w:val="24"/>
          <w:szCs w:val="24"/>
        </w:rPr>
      </w:pPr>
      <w:r>
        <w:rPr>
          <w:rFonts w:asciiTheme="minorEastAsia" w:hAnsiTheme="minorEastAsia" w:hint="eastAsia"/>
          <w:b/>
          <w:sz w:val="24"/>
          <w:szCs w:val="24"/>
        </w:rPr>
        <w:t>合</w:t>
      </w:r>
      <w:proofErr w:type="gramStart"/>
      <w:r>
        <w:rPr>
          <w:rFonts w:asciiTheme="minorEastAsia" w:hAnsiTheme="minorEastAsia" w:hint="eastAsia"/>
          <w:b/>
          <w:sz w:val="24"/>
          <w:szCs w:val="24"/>
        </w:rPr>
        <w:t>规</w:t>
      </w:r>
      <w:proofErr w:type="gramEnd"/>
      <w:r>
        <w:rPr>
          <w:rFonts w:asciiTheme="minorEastAsia" w:hAnsiTheme="minorEastAsia" w:hint="eastAsia"/>
          <w:b/>
          <w:sz w:val="24"/>
          <w:szCs w:val="24"/>
        </w:rPr>
        <w:t>体系</w:t>
      </w:r>
      <w:proofErr w:type="gramStart"/>
      <w:r>
        <w:rPr>
          <w:rFonts w:asciiTheme="minorEastAsia" w:hAnsiTheme="minorEastAsia" w:hint="eastAsia"/>
          <w:b/>
          <w:sz w:val="24"/>
          <w:szCs w:val="24"/>
        </w:rPr>
        <w:t>对</w:t>
      </w:r>
      <w:r w:rsidR="003077B4">
        <w:rPr>
          <w:rFonts w:asciiTheme="minorEastAsia" w:hAnsiTheme="minorEastAsia" w:hint="eastAsia"/>
          <w:b/>
          <w:sz w:val="24"/>
          <w:szCs w:val="24"/>
        </w:rPr>
        <w:t>互金企业</w:t>
      </w:r>
      <w:proofErr w:type="gramEnd"/>
      <w:r w:rsidR="003077B4">
        <w:rPr>
          <w:rFonts w:asciiTheme="minorEastAsia" w:hAnsiTheme="minorEastAsia" w:hint="eastAsia"/>
          <w:b/>
          <w:sz w:val="24"/>
          <w:szCs w:val="24"/>
        </w:rPr>
        <w:t>的重大意义</w:t>
      </w:r>
    </w:p>
    <w:p w:rsidR="00B7101C" w:rsidRDefault="00EF6A60" w:rsidP="00C018F5">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合</w:t>
      </w:r>
      <w:proofErr w:type="gramStart"/>
      <w:r>
        <w:rPr>
          <w:rFonts w:asciiTheme="minorEastAsia" w:hAnsiTheme="minorEastAsia" w:cs="Times New Roman" w:hint="eastAsia"/>
          <w:sz w:val="24"/>
          <w:szCs w:val="24"/>
        </w:rPr>
        <w:t>规</w:t>
      </w:r>
      <w:proofErr w:type="gramEnd"/>
      <w:r>
        <w:rPr>
          <w:rFonts w:asciiTheme="minorEastAsia" w:hAnsiTheme="minorEastAsia" w:cs="Times New Roman" w:hint="eastAsia"/>
          <w:sz w:val="24"/>
          <w:szCs w:val="24"/>
        </w:rPr>
        <w:t>体系</w:t>
      </w:r>
      <w:proofErr w:type="gramStart"/>
      <w:r>
        <w:rPr>
          <w:rFonts w:asciiTheme="minorEastAsia" w:hAnsiTheme="minorEastAsia" w:cs="Times New Roman" w:hint="eastAsia"/>
          <w:sz w:val="24"/>
          <w:szCs w:val="24"/>
        </w:rPr>
        <w:t>对互金企业</w:t>
      </w:r>
      <w:proofErr w:type="gramEnd"/>
      <w:r>
        <w:rPr>
          <w:rFonts w:asciiTheme="minorEastAsia" w:hAnsiTheme="minorEastAsia" w:cs="Times New Roman" w:hint="eastAsia"/>
          <w:sz w:val="24"/>
          <w:szCs w:val="24"/>
        </w:rPr>
        <w:t>的意义首先在于帮助企业切割个保法项下的民事责任。</w:t>
      </w:r>
      <w:r w:rsidR="00736395" w:rsidRPr="00B92C2A">
        <w:rPr>
          <w:rFonts w:asciiTheme="minorEastAsia" w:hAnsiTheme="minorEastAsia" w:cs="Times New Roman" w:hint="eastAsia"/>
          <w:sz w:val="24"/>
          <w:szCs w:val="24"/>
        </w:rPr>
        <w:t>从国内外的行政和刑事执法的经验上看，拥有一套完善的合</w:t>
      </w:r>
      <w:proofErr w:type="gramStart"/>
      <w:r w:rsidR="00736395" w:rsidRPr="00B92C2A">
        <w:rPr>
          <w:rFonts w:asciiTheme="minorEastAsia" w:hAnsiTheme="minorEastAsia" w:cs="Times New Roman" w:hint="eastAsia"/>
          <w:sz w:val="24"/>
          <w:szCs w:val="24"/>
        </w:rPr>
        <w:t>规</w:t>
      </w:r>
      <w:proofErr w:type="gramEnd"/>
      <w:r w:rsidR="00736395" w:rsidRPr="00B92C2A">
        <w:rPr>
          <w:rFonts w:asciiTheme="minorEastAsia" w:hAnsiTheme="minorEastAsia" w:cs="Times New Roman" w:hint="eastAsia"/>
          <w:sz w:val="24"/>
          <w:szCs w:val="24"/>
        </w:rPr>
        <w:t>体系能够在很大程度上</w:t>
      </w:r>
      <w:r w:rsidR="00736395">
        <w:rPr>
          <w:rFonts w:asciiTheme="minorEastAsia" w:hAnsiTheme="minorEastAsia" w:cs="Times New Roman" w:hint="eastAsia"/>
          <w:sz w:val="24"/>
          <w:szCs w:val="24"/>
        </w:rPr>
        <w:t>降低</w:t>
      </w:r>
      <w:r w:rsidR="00736395" w:rsidRPr="00B92C2A">
        <w:rPr>
          <w:rFonts w:asciiTheme="minorEastAsia" w:hAnsiTheme="minorEastAsia" w:cs="Times New Roman" w:hint="eastAsia"/>
          <w:sz w:val="24"/>
          <w:szCs w:val="24"/>
        </w:rPr>
        <w:t>甚至</w:t>
      </w:r>
      <w:r w:rsidR="00736395">
        <w:rPr>
          <w:rFonts w:asciiTheme="minorEastAsia" w:hAnsiTheme="minorEastAsia" w:cs="Times New Roman" w:hint="eastAsia"/>
          <w:sz w:val="24"/>
          <w:szCs w:val="24"/>
        </w:rPr>
        <w:t>免除</w:t>
      </w:r>
      <w:r w:rsidR="00736395" w:rsidRPr="00B92C2A">
        <w:rPr>
          <w:rFonts w:asciiTheme="minorEastAsia" w:hAnsiTheme="minorEastAsia" w:cs="Times New Roman" w:hint="eastAsia"/>
          <w:sz w:val="24"/>
          <w:szCs w:val="24"/>
        </w:rPr>
        <w:t>企业</w:t>
      </w:r>
      <w:r w:rsidR="00736395">
        <w:rPr>
          <w:rFonts w:asciiTheme="minorEastAsia" w:hAnsiTheme="minorEastAsia" w:cs="Times New Roman" w:hint="eastAsia"/>
          <w:sz w:val="24"/>
          <w:szCs w:val="24"/>
        </w:rPr>
        <w:t>的</w:t>
      </w:r>
      <w:r w:rsidR="00736395" w:rsidRPr="00B92C2A">
        <w:rPr>
          <w:rFonts w:asciiTheme="minorEastAsia" w:hAnsiTheme="minorEastAsia" w:cs="Times New Roman" w:hint="eastAsia"/>
          <w:sz w:val="24"/>
          <w:szCs w:val="24"/>
        </w:rPr>
        <w:t>行政和刑事责任。</w:t>
      </w:r>
      <w:r w:rsidR="00736395">
        <w:rPr>
          <w:rFonts w:asciiTheme="minorEastAsia" w:hAnsiTheme="minorEastAsia" w:cs="Times New Roman" w:hint="eastAsia"/>
          <w:sz w:val="24"/>
          <w:szCs w:val="24"/>
        </w:rPr>
        <w:t>这一解决方案同样适用于《个保法》项下的民事责任。</w:t>
      </w:r>
      <w:r w:rsidR="00C018F5" w:rsidRPr="00EF6A60">
        <w:rPr>
          <w:rFonts w:asciiTheme="minorEastAsia" w:hAnsiTheme="minorEastAsia" w:cs="Times New Roman" w:hint="eastAsia"/>
          <w:sz w:val="24"/>
          <w:szCs w:val="24"/>
        </w:rPr>
        <w:t>这是因为，《个保法》民事责任以过错责任为基础，只要涉案企业能够证明其</w:t>
      </w:r>
      <w:r w:rsidR="00C018F5">
        <w:rPr>
          <w:rFonts w:asciiTheme="minorEastAsia" w:hAnsiTheme="minorEastAsia" w:cs="Times New Roman" w:hint="eastAsia"/>
          <w:sz w:val="24"/>
          <w:szCs w:val="24"/>
        </w:rPr>
        <w:t>业已搭建一套完善的合</w:t>
      </w:r>
      <w:proofErr w:type="gramStart"/>
      <w:r w:rsidR="00C018F5">
        <w:rPr>
          <w:rFonts w:asciiTheme="minorEastAsia" w:hAnsiTheme="minorEastAsia" w:cs="Times New Roman" w:hint="eastAsia"/>
          <w:sz w:val="24"/>
          <w:szCs w:val="24"/>
        </w:rPr>
        <w:t>规</w:t>
      </w:r>
      <w:proofErr w:type="gramEnd"/>
      <w:r w:rsidR="00C018F5">
        <w:rPr>
          <w:rFonts w:asciiTheme="minorEastAsia" w:hAnsiTheme="minorEastAsia" w:cs="Times New Roman" w:hint="eastAsia"/>
          <w:sz w:val="24"/>
          <w:szCs w:val="24"/>
        </w:rPr>
        <w:t>体系并充分贯彻落实，即</w:t>
      </w:r>
      <w:proofErr w:type="gramStart"/>
      <w:r w:rsidR="00C018F5">
        <w:rPr>
          <w:rFonts w:asciiTheme="minorEastAsia" w:hAnsiTheme="minorEastAsia" w:cs="Times New Roman" w:hint="eastAsia"/>
          <w:sz w:val="24"/>
          <w:szCs w:val="24"/>
        </w:rPr>
        <w:t>可主张</w:t>
      </w:r>
      <w:proofErr w:type="gramEnd"/>
      <w:r w:rsidR="00C018F5">
        <w:rPr>
          <w:rFonts w:asciiTheme="minorEastAsia" w:hAnsiTheme="minorEastAsia" w:cs="Times New Roman" w:hint="eastAsia"/>
          <w:sz w:val="24"/>
          <w:szCs w:val="24"/>
        </w:rPr>
        <w:t>其不存在过错，</w:t>
      </w:r>
      <w:r w:rsidRPr="00EF6A60">
        <w:rPr>
          <w:rFonts w:asciiTheme="minorEastAsia" w:hAnsiTheme="minorEastAsia" w:cs="Times New Roman" w:hint="eastAsia"/>
          <w:sz w:val="24"/>
          <w:szCs w:val="24"/>
        </w:rPr>
        <w:t>进而切割民事责任。</w:t>
      </w:r>
      <w:r w:rsidR="00C018F5">
        <w:rPr>
          <w:rFonts w:asciiTheme="minorEastAsia" w:hAnsiTheme="minorEastAsia" w:cs="Times New Roman" w:hint="eastAsia"/>
          <w:sz w:val="24"/>
          <w:szCs w:val="24"/>
        </w:rPr>
        <w:t>一</w:t>
      </w:r>
      <w:r w:rsidRPr="00EF6A60">
        <w:rPr>
          <w:rFonts w:asciiTheme="minorEastAsia" w:hAnsiTheme="minorEastAsia" w:cs="Times New Roman" w:hint="eastAsia"/>
          <w:sz w:val="24"/>
          <w:szCs w:val="24"/>
        </w:rPr>
        <w:t>套完善的事前合规制度，有效而严格的事中合</w:t>
      </w:r>
      <w:proofErr w:type="gramStart"/>
      <w:r w:rsidRPr="00EF6A60">
        <w:rPr>
          <w:rFonts w:asciiTheme="minorEastAsia" w:hAnsiTheme="minorEastAsia" w:cs="Times New Roman" w:hint="eastAsia"/>
          <w:sz w:val="24"/>
          <w:szCs w:val="24"/>
        </w:rPr>
        <w:t>规</w:t>
      </w:r>
      <w:proofErr w:type="gramEnd"/>
      <w:r w:rsidRPr="00EF6A60">
        <w:rPr>
          <w:rFonts w:asciiTheme="minorEastAsia" w:hAnsiTheme="minorEastAsia" w:cs="Times New Roman" w:hint="eastAsia"/>
          <w:sz w:val="24"/>
          <w:szCs w:val="24"/>
        </w:rPr>
        <w:t>检查和实施，及时的事后内部调查和合规制度更新，可以在很大程度上证明企业已经尽最大可能完成了对个人信息的保护义务，进而切割企业所面临的民事责任，由违反公司制度的员工个人承担侵权责任。</w:t>
      </w:r>
    </w:p>
    <w:p w:rsidR="00EF6A60" w:rsidRDefault="00AE2B33" w:rsidP="0091633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合</w:t>
      </w:r>
      <w:proofErr w:type="gramStart"/>
      <w:r>
        <w:rPr>
          <w:rFonts w:asciiTheme="minorEastAsia" w:hAnsiTheme="minorEastAsia" w:cs="Times New Roman" w:hint="eastAsia"/>
          <w:sz w:val="24"/>
          <w:szCs w:val="24"/>
        </w:rPr>
        <w:t>规</w:t>
      </w:r>
      <w:proofErr w:type="gramEnd"/>
      <w:r>
        <w:rPr>
          <w:rFonts w:asciiTheme="minorEastAsia" w:hAnsiTheme="minorEastAsia" w:cs="Times New Roman" w:hint="eastAsia"/>
          <w:sz w:val="24"/>
          <w:szCs w:val="24"/>
        </w:rPr>
        <w:t>体系更为积极的意义在于</w:t>
      </w:r>
      <w:r w:rsidR="00CC3CD9">
        <w:rPr>
          <w:rFonts w:asciiTheme="minorEastAsia" w:hAnsiTheme="minorEastAsia" w:cs="Times New Roman" w:hint="eastAsia"/>
          <w:sz w:val="24"/>
          <w:szCs w:val="24"/>
        </w:rPr>
        <w:t>帮助</w:t>
      </w:r>
      <w:proofErr w:type="gramStart"/>
      <w:r w:rsidR="00CC3CD9">
        <w:rPr>
          <w:rFonts w:asciiTheme="minorEastAsia" w:hAnsiTheme="minorEastAsia" w:cs="Times New Roman" w:hint="eastAsia"/>
          <w:sz w:val="24"/>
          <w:szCs w:val="24"/>
        </w:rPr>
        <w:t>互金企业</w:t>
      </w:r>
      <w:proofErr w:type="gramEnd"/>
      <w:r w:rsidR="00CC3CD9">
        <w:rPr>
          <w:rFonts w:asciiTheme="minorEastAsia" w:hAnsiTheme="minorEastAsia" w:cs="Times New Roman" w:hint="eastAsia"/>
          <w:sz w:val="24"/>
          <w:szCs w:val="24"/>
        </w:rPr>
        <w:t>建立违法犯罪的预防体系，</w:t>
      </w:r>
      <w:r w:rsidR="00395411">
        <w:rPr>
          <w:rFonts w:asciiTheme="minorEastAsia" w:hAnsiTheme="minorEastAsia" w:cs="Times New Roman" w:hint="eastAsia"/>
          <w:sz w:val="24"/>
          <w:szCs w:val="24"/>
        </w:rPr>
        <w:t>进而</w:t>
      </w:r>
      <w:r w:rsidR="00CC3CD9">
        <w:rPr>
          <w:rFonts w:asciiTheme="minorEastAsia" w:hAnsiTheme="minorEastAsia" w:cs="Times New Roman" w:hint="eastAsia"/>
          <w:sz w:val="24"/>
          <w:szCs w:val="24"/>
        </w:rPr>
        <w:t>营造企业良好的</w:t>
      </w:r>
      <w:r w:rsidR="00395411">
        <w:rPr>
          <w:rFonts w:asciiTheme="minorEastAsia" w:hAnsiTheme="minorEastAsia" w:cs="Times New Roman" w:hint="eastAsia"/>
          <w:sz w:val="24"/>
          <w:szCs w:val="24"/>
        </w:rPr>
        <w:t>合</w:t>
      </w:r>
      <w:proofErr w:type="gramStart"/>
      <w:r w:rsidR="00395411">
        <w:rPr>
          <w:rFonts w:asciiTheme="minorEastAsia" w:hAnsiTheme="minorEastAsia" w:cs="Times New Roman" w:hint="eastAsia"/>
          <w:sz w:val="24"/>
          <w:szCs w:val="24"/>
        </w:rPr>
        <w:t>规</w:t>
      </w:r>
      <w:proofErr w:type="gramEnd"/>
      <w:r w:rsidR="00395411">
        <w:rPr>
          <w:rFonts w:asciiTheme="minorEastAsia" w:hAnsiTheme="minorEastAsia" w:cs="Times New Roman" w:hint="eastAsia"/>
          <w:sz w:val="24"/>
          <w:szCs w:val="24"/>
        </w:rPr>
        <w:t>文化。</w:t>
      </w:r>
      <w:r w:rsidRPr="00AE2B33">
        <w:rPr>
          <w:rFonts w:asciiTheme="minorEastAsia" w:hAnsiTheme="minorEastAsia" w:cs="Times New Roman" w:hint="eastAsia"/>
          <w:sz w:val="24"/>
          <w:szCs w:val="24"/>
        </w:rPr>
        <w:t>一套完善的合</w:t>
      </w:r>
      <w:proofErr w:type="gramStart"/>
      <w:r w:rsidRPr="00AE2B33">
        <w:rPr>
          <w:rFonts w:asciiTheme="minorEastAsia" w:hAnsiTheme="minorEastAsia" w:cs="Times New Roman" w:hint="eastAsia"/>
          <w:sz w:val="24"/>
          <w:szCs w:val="24"/>
        </w:rPr>
        <w:t>规</w:t>
      </w:r>
      <w:proofErr w:type="gramEnd"/>
      <w:r w:rsidRPr="00AE2B33">
        <w:rPr>
          <w:rFonts w:asciiTheme="minorEastAsia" w:hAnsiTheme="minorEastAsia" w:cs="Times New Roman" w:hint="eastAsia"/>
          <w:sz w:val="24"/>
          <w:szCs w:val="24"/>
        </w:rPr>
        <w:t>体系，在很大程度上可以</w:t>
      </w:r>
      <w:r w:rsidR="00DA2198">
        <w:rPr>
          <w:rFonts w:asciiTheme="minorEastAsia" w:hAnsiTheme="minorEastAsia" w:cs="Times New Roman" w:hint="eastAsia"/>
          <w:sz w:val="24"/>
          <w:szCs w:val="24"/>
        </w:rPr>
        <w:t>预防</w:t>
      </w:r>
      <w:r w:rsidR="00B26196">
        <w:rPr>
          <w:rFonts w:asciiTheme="minorEastAsia" w:hAnsiTheme="minorEastAsia" w:cs="Times New Roman" w:hint="eastAsia"/>
          <w:sz w:val="24"/>
          <w:szCs w:val="24"/>
        </w:rPr>
        <w:t>违法犯罪</w:t>
      </w:r>
      <w:r w:rsidRPr="00AE2B33">
        <w:rPr>
          <w:rFonts w:asciiTheme="minorEastAsia" w:hAnsiTheme="minorEastAsia" w:cs="Times New Roman" w:hint="eastAsia"/>
          <w:sz w:val="24"/>
          <w:szCs w:val="24"/>
        </w:rPr>
        <w:t>的发生。</w:t>
      </w:r>
      <w:r w:rsidR="00B26196">
        <w:rPr>
          <w:rFonts w:asciiTheme="minorEastAsia" w:hAnsiTheme="minorEastAsia" w:cs="Times New Roman" w:hint="eastAsia"/>
          <w:sz w:val="24"/>
          <w:szCs w:val="24"/>
        </w:rPr>
        <w:t>第一</w:t>
      </w:r>
      <w:r w:rsidRPr="00AE2B33">
        <w:rPr>
          <w:rFonts w:asciiTheme="minorEastAsia" w:hAnsiTheme="minorEastAsia" w:cs="Times New Roman" w:hint="eastAsia"/>
          <w:sz w:val="24"/>
          <w:szCs w:val="24"/>
        </w:rPr>
        <w:t>，企业对经营业务的各个环节建立严格的制度，既可以避免系统性的较大的合</w:t>
      </w:r>
      <w:proofErr w:type="gramStart"/>
      <w:r w:rsidRPr="00AE2B33">
        <w:rPr>
          <w:rFonts w:asciiTheme="minorEastAsia" w:hAnsiTheme="minorEastAsia" w:cs="Times New Roman" w:hint="eastAsia"/>
          <w:sz w:val="24"/>
          <w:szCs w:val="24"/>
        </w:rPr>
        <w:t>规</w:t>
      </w:r>
      <w:proofErr w:type="gramEnd"/>
      <w:r w:rsidRPr="00AE2B33">
        <w:rPr>
          <w:rFonts w:asciiTheme="minorEastAsia" w:hAnsiTheme="minorEastAsia" w:cs="Times New Roman" w:hint="eastAsia"/>
          <w:sz w:val="24"/>
          <w:szCs w:val="24"/>
        </w:rPr>
        <w:t>风险，也可以降低企业员工利用企业管理漏洞从事违法违规行为的风险</w:t>
      </w:r>
      <w:r w:rsidR="00B26196">
        <w:rPr>
          <w:rFonts w:asciiTheme="minorEastAsia" w:hAnsiTheme="minorEastAsia" w:cs="Times New Roman" w:hint="eastAsia"/>
          <w:sz w:val="24"/>
          <w:szCs w:val="24"/>
        </w:rPr>
        <w:t>，</w:t>
      </w:r>
      <w:r w:rsidR="00050F2D">
        <w:rPr>
          <w:rFonts w:asciiTheme="minorEastAsia" w:hAnsiTheme="minorEastAsia" w:cs="Times New Roman" w:hint="eastAsia"/>
          <w:sz w:val="24"/>
          <w:szCs w:val="24"/>
        </w:rPr>
        <w:t>达到</w:t>
      </w:r>
      <w:r w:rsidR="00B26196">
        <w:rPr>
          <w:rFonts w:asciiTheme="minorEastAsia" w:hAnsiTheme="minorEastAsia" w:cs="Times New Roman" w:hint="eastAsia"/>
          <w:sz w:val="24"/>
          <w:szCs w:val="24"/>
        </w:rPr>
        <w:t>使员工“不能违法犯罪”</w:t>
      </w:r>
      <w:r w:rsidR="00050F2D">
        <w:rPr>
          <w:rFonts w:asciiTheme="minorEastAsia" w:hAnsiTheme="minorEastAsia" w:cs="Times New Roman" w:hint="eastAsia"/>
          <w:sz w:val="24"/>
          <w:szCs w:val="24"/>
        </w:rPr>
        <w:t>的目的</w:t>
      </w:r>
      <w:r w:rsidRPr="00AE2B33">
        <w:rPr>
          <w:rFonts w:asciiTheme="minorEastAsia" w:hAnsiTheme="minorEastAsia" w:cs="Times New Roman" w:hint="eastAsia"/>
          <w:sz w:val="24"/>
          <w:szCs w:val="24"/>
        </w:rPr>
        <w:t>。</w:t>
      </w:r>
      <w:r w:rsidR="00B26196">
        <w:rPr>
          <w:rFonts w:asciiTheme="minorEastAsia" w:hAnsiTheme="minorEastAsia" w:cs="Times New Roman" w:hint="eastAsia"/>
          <w:sz w:val="24"/>
          <w:szCs w:val="24"/>
        </w:rPr>
        <w:t>第</w:t>
      </w:r>
      <w:r w:rsidR="00050F2D">
        <w:rPr>
          <w:rFonts w:asciiTheme="minorEastAsia" w:hAnsiTheme="minorEastAsia" w:cs="Times New Roman" w:hint="eastAsia"/>
          <w:sz w:val="24"/>
          <w:szCs w:val="24"/>
        </w:rPr>
        <w:t>二</w:t>
      </w:r>
      <w:r w:rsidRPr="00AE2B33">
        <w:rPr>
          <w:rFonts w:asciiTheme="minorEastAsia" w:hAnsiTheme="minorEastAsia" w:cs="Times New Roman" w:hint="eastAsia"/>
          <w:sz w:val="24"/>
          <w:szCs w:val="24"/>
        </w:rPr>
        <w:t>，企业加强对合规制度的教育培训，也可以使员工意识到违法行为的后果严重性，并且向员工传达企业对不合</w:t>
      </w:r>
      <w:proofErr w:type="gramStart"/>
      <w:r w:rsidRPr="00AE2B33">
        <w:rPr>
          <w:rFonts w:asciiTheme="minorEastAsia" w:hAnsiTheme="minorEastAsia" w:cs="Times New Roman" w:hint="eastAsia"/>
          <w:sz w:val="24"/>
          <w:szCs w:val="24"/>
        </w:rPr>
        <w:t>规</w:t>
      </w:r>
      <w:proofErr w:type="gramEnd"/>
      <w:r w:rsidRPr="00AE2B33">
        <w:rPr>
          <w:rFonts w:asciiTheme="minorEastAsia" w:hAnsiTheme="minorEastAsia" w:cs="Times New Roman" w:hint="eastAsia"/>
          <w:sz w:val="24"/>
          <w:szCs w:val="24"/>
        </w:rPr>
        <w:t>行为的零包庇、零姑息态度</w:t>
      </w:r>
      <w:r w:rsidR="00050F2D">
        <w:rPr>
          <w:rFonts w:asciiTheme="minorEastAsia" w:hAnsiTheme="minorEastAsia" w:cs="Times New Roman" w:hint="eastAsia"/>
          <w:sz w:val="24"/>
          <w:szCs w:val="24"/>
        </w:rPr>
        <w:t>，</w:t>
      </w:r>
      <w:r w:rsidR="00050F2D" w:rsidRPr="00050F2D">
        <w:rPr>
          <w:rFonts w:asciiTheme="minorEastAsia" w:hAnsiTheme="minorEastAsia" w:cs="Times New Roman" w:hint="eastAsia"/>
          <w:sz w:val="24"/>
          <w:szCs w:val="24"/>
        </w:rPr>
        <w:t>达到使员工“</w:t>
      </w:r>
      <w:r w:rsidR="00050F2D">
        <w:rPr>
          <w:rFonts w:asciiTheme="minorEastAsia" w:hAnsiTheme="minorEastAsia" w:cs="Times New Roman" w:hint="eastAsia"/>
          <w:sz w:val="24"/>
          <w:szCs w:val="24"/>
        </w:rPr>
        <w:t>不敢</w:t>
      </w:r>
      <w:r w:rsidR="00050F2D" w:rsidRPr="00050F2D">
        <w:rPr>
          <w:rFonts w:asciiTheme="minorEastAsia" w:hAnsiTheme="minorEastAsia" w:cs="Times New Roman" w:hint="eastAsia"/>
          <w:sz w:val="24"/>
          <w:szCs w:val="24"/>
        </w:rPr>
        <w:t>违法犯罪”的目的。</w:t>
      </w:r>
      <w:r w:rsidR="00050F2D">
        <w:rPr>
          <w:rFonts w:asciiTheme="minorEastAsia" w:hAnsiTheme="minorEastAsia" w:cs="Times New Roman" w:hint="eastAsia"/>
          <w:sz w:val="24"/>
          <w:szCs w:val="24"/>
        </w:rPr>
        <w:t>第三，企业通过对员工有关合规制度的宣传培训，</w:t>
      </w:r>
      <w:r w:rsidR="00916334">
        <w:rPr>
          <w:rFonts w:asciiTheme="minorEastAsia" w:hAnsiTheme="minorEastAsia" w:cs="Times New Roman" w:hint="eastAsia"/>
          <w:sz w:val="24"/>
          <w:szCs w:val="24"/>
        </w:rPr>
        <w:t>营造出企业良好的合</w:t>
      </w:r>
      <w:proofErr w:type="gramStart"/>
      <w:r w:rsidR="00916334">
        <w:rPr>
          <w:rFonts w:asciiTheme="minorEastAsia" w:hAnsiTheme="minorEastAsia" w:cs="Times New Roman" w:hint="eastAsia"/>
          <w:sz w:val="24"/>
          <w:szCs w:val="24"/>
        </w:rPr>
        <w:t>规</w:t>
      </w:r>
      <w:proofErr w:type="gramEnd"/>
      <w:r w:rsidR="00916334">
        <w:rPr>
          <w:rFonts w:asciiTheme="minorEastAsia" w:hAnsiTheme="minorEastAsia" w:cs="Times New Roman" w:hint="eastAsia"/>
          <w:sz w:val="24"/>
          <w:szCs w:val="24"/>
        </w:rPr>
        <w:t>文化与氛围，</w:t>
      </w:r>
      <w:r w:rsidR="00916334" w:rsidRPr="00916334">
        <w:rPr>
          <w:rFonts w:asciiTheme="minorEastAsia" w:hAnsiTheme="minorEastAsia" w:cs="Times New Roman" w:hint="eastAsia"/>
          <w:sz w:val="24"/>
          <w:szCs w:val="24"/>
        </w:rPr>
        <w:t>达到使员工“</w:t>
      </w:r>
      <w:r w:rsidR="00916334">
        <w:rPr>
          <w:rFonts w:asciiTheme="minorEastAsia" w:hAnsiTheme="minorEastAsia" w:cs="Times New Roman" w:hint="eastAsia"/>
          <w:sz w:val="24"/>
          <w:szCs w:val="24"/>
        </w:rPr>
        <w:t>不想</w:t>
      </w:r>
      <w:r w:rsidR="00916334" w:rsidRPr="00916334">
        <w:rPr>
          <w:rFonts w:asciiTheme="minorEastAsia" w:hAnsiTheme="minorEastAsia" w:cs="Times New Roman" w:hint="eastAsia"/>
          <w:sz w:val="24"/>
          <w:szCs w:val="24"/>
        </w:rPr>
        <w:t>违法犯罪”的目的。</w:t>
      </w:r>
    </w:p>
    <w:p w:rsidR="00916334" w:rsidRPr="00916334" w:rsidRDefault="00916334" w:rsidP="00916334">
      <w:pPr>
        <w:pStyle w:val="a5"/>
        <w:numPr>
          <w:ilvl w:val="0"/>
          <w:numId w:val="3"/>
        </w:numPr>
        <w:spacing w:line="360" w:lineRule="auto"/>
        <w:ind w:firstLineChars="0"/>
        <w:rPr>
          <w:rFonts w:asciiTheme="minorEastAsia" w:hAnsiTheme="minorEastAsia"/>
          <w:b/>
          <w:sz w:val="24"/>
          <w:szCs w:val="24"/>
        </w:rPr>
      </w:pPr>
      <w:r>
        <w:rPr>
          <w:rFonts w:asciiTheme="minorEastAsia" w:hAnsiTheme="minorEastAsia" w:hint="eastAsia"/>
          <w:b/>
          <w:sz w:val="24"/>
          <w:szCs w:val="24"/>
        </w:rPr>
        <w:t>如何为</w:t>
      </w:r>
      <w:proofErr w:type="gramStart"/>
      <w:r>
        <w:rPr>
          <w:rFonts w:asciiTheme="minorEastAsia" w:hAnsiTheme="minorEastAsia" w:hint="eastAsia"/>
          <w:b/>
          <w:sz w:val="24"/>
          <w:szCs w:val="24"/>
        </w:rPr>
        <w:t>互金企业</w:t>
      </w:r>
      <w:proofErr w:type="gramEnd"/>
      <w:r>
        <w:rPr>
          <w:rFonts w:asciiTheme="minorEastAsia" w:hAnsiTheme="minorEastAsia" w:hint="eastAsia"/>
          <w:b/>
          <w:sz w:val="24"/>
          <w:szCs w:val="24"/>
        </w:rPr>
        <w:t>搭建合</w:t>
      </w:r>
      <w:proofErr w:type="gramStart"/>
      <w:r>
        <w:rPr>
          <w:rFonts w:asciiTheme="minorEastAsia" w:hAnsiTheme="minorEastAsia" w:hint="eastAsia"/>
          <w:b/>
          <w:sz w:val="24"/>
          <w:szCs w:val="24"/>
        </w:rPr>
        <w:t>规</w:t>
      </w:r>
      <w:proofErr w:type="gramEnd"/>
      <w:r>
        <w:rPr>
          <w:rFonts w:asciiTheme="minorEastAsia" w:hAnsiTheme="minorEastAsia" w:hint="eastAsia"/>
          <w:b/>
          <w:sz w:val="24"/>
          <w:szCs w:val="24"/>
        </w:rPr>
        <w:t>体系</w:t>
      </w:r>
    </w:p>
    <w:p w:rsidR="000E2526" w:rsidRPr="00B92C2A" w:rsidRDefault="00477176" w:rsidP="00B92C2A">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健全的合</w:t>
      </w:r>
      <w:proofErr w:type="gramStart"/>
      <w:r>
        <w:rPr>
          <w:rFonts w:asciiTheme="minorEastAsia" w:hAnsiTheme="minorEastAsia" w:cs="Times New Roman" w:hint="eastAsia"/>
          <w:sz w:val="24"/>
          <w:szCs w:val="24"/>
        </w:rPr>
        <w:t>规</w:t>
      </w:r>
      <w:proofErr w:type="gramEnd"/>
      <w:r>
        <w:rPr>
          <w:rFonts w:asciiTheme="minorEastAsia" w:hAnsiTheme="minorEastAsia" w:cs="Times New Roman" w:hint="eastAsia"/>
          <w:sz w:val="24"/>
          <w:szCs w:val="24"/>
        </w:rPr>
        <w:t>体系</w:t>
      </w:r>
      <w:r w:rsidR="00AC6A66" w:rsidRPr="00B92C2A">
        <w:rPr>
          <w:rFonts w:asciiTheme="minorEastAsia" w:hAnsiTheme="minorEastAsia" w:cs="Times New Roman" w:hint="eastAsia"/>
          <w:sz w:val="24"/>
          <w:szCs w:val="24"/>
        </w:rPr>
        <w:t>应</w:t>
      </w:r>
      <w:r w:rsidR="00AC6A66" w:rsidRPr="00B92C2A">
        <w:rPr>
          <w:rFonts w:asciiTheme="minorEastAsia" w:hAnsiTheme="minorEastAsia" w:cs="Times New Roman"/>
          <w:sz w:val="24"/>
          <w:szCs w:val="24"/>
        </w:rPr>
        <w:t>当包括</w:t>
      </w:r>
      <w:r w:rsidR="00EB40EB">
        <w:rPr>
          <w:rFonts w:asciiTheme="minorEastAsia" w:hAnsiTheme="minorEastAsia" w:cs="Times New Roman" w:hint="eastAsia"/>
          <w:sz w:val="24"/>
          <w:szCs w:val="24"/>
        </w:rPr>
        <w:t>制度建设、合</w:t>
      </w:r>
      <w:proofErr w:type="gramStart"/>
      <w:r w:rsidR="00EB40EB">
        <w:rPr>
          <w:rFonts w:asciiTheme="minorEastAsia" w:hAnsiTheme="minorEastAsia" w:cs="Times New Roman" w:hint="eastAsia"/>
          <w:sz w:val="24"/>
          <w:szCs w:val="24"/>
        </w:rPr>
        <w:t>规</w:t>
      </w:r>
      <w:proofErr w:type="gramEnd"/>
      <w:r w:rsidR="00EB40EB">
        <w:rPr>
          <w:rFonts w:asciiTheme="minorEastAsia" w:hAnsiTheme="minorEastAsia" w:cs="Times New Roman" w:hint="eastAsia"/>
          <w:sz w:val="24"/>
          <w:szCs w:val="24"/>
        </w:rPr>
        <w:t>体检、内部调查等事前、事中、事后三个维度</w:t>
      </w:r>
      <w:r w:rsidR="00A026F4">
        <w:rPr>
          <w:rFonts w:asciiTheme="minorEastAsia" w:hAnsiTheme="minorEastAsia" w:cs="Times New Roman" w:hint="eastAsia"/>
          <w:sz w:val="24"/>
          <w:szCs w:val="24"/>
        </w:rPr>
        <w:t>。具体就</w:t>
      </w:r>
      <w:proofErr w:type="gramStart"/>
      <w:r w:rsidR="00A026F4">
        <w:rPr>
          <w:rFonts w:asciiTheme="minorEastAsia" w:hAnsiTheme="minorEastAsia" w:cs="Times New Roman" w:hint="eastAsia"/>
          <w:sz w:val="24"/>
          <w:szCs w:val="24"/>
        </w:rPr>
        <w:t>互金企业</w:t>
      </w:r>
      <w:proofErr w:type="gramEnd"/>
      <w:r w:rsidR="00A026F4">
        <w:rPr>
          <w:rFonts w:asciiTheme="minorEastAsia" w:hAnsiTheme="minorEastAsia" w:cs="Times New Roman" w:hint="eastAsia"/>
          <w:sz w:val="24"/>
          <w:szCs w:val="24"/>
        </w:rPr>
        <w:t>所涉个人信息保护保护合</w:t>
      </w:r>
      <w:proofErr w:type="gramStart"/>
      <w:r w:rsidR="00A026F4">
        <w:rPr>
          <w:rFonts w:asciiTheme="minorEastAsia" w:hAnsiTheme="minorEastAsia" w:cs="Times New Roman" w:hint="eastAsia"/>
          <w:sz w:val="24"/>
          <w:szCs w:val="24"/>
        </w:rPr>
        <w:t>规</w:t>
      </w:r>
      <w:proofErr w:type="gramEnd"/>
      <w:r w:rsidR="00A026F4">
        <w:rPr>
          <w:rFonts w:asciiTheme="minorEastAsia" w:hAnsiTheme="minorEastAsia" w:cs="Times New Roman" w:hint="eastAsia"/>
          <w:sz w:val="24"/>
          <w:szCs w:val="24"/>
        </w:rPr>
        <w:t>工作而言，则应当包括如下三方面内容</w:t>
      </w:r>
      <w:r w:rsidR="008C31DA">
        <w:rPr>
          <w:rFonts w:asciiTheme="minorEastAsia" w:hAnsiTheme="minorEastAsia" w:cs="Times New Roman" w:hint="eastAsia"/>
          <w:sz w:val="24"/>
          <w:szCs w:val="24"/>
        </w:rPr>
        <w:t>：</w:t>
      </w:r>
    </w:p>
    <w:p w:rsidR="000E2526" w:rsidRPr="00B92C2A" w:rsidRDefault="008C31DA" w:rsidP="009E494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第一，</w:t>
      </w:r>
      <w:r w:rsidR="00AC6A66" w:rsidRPr="00B92C2A">
        <w:rPr>
          <w:rFonts w:asciiTheme="minorEastAsia" w:hAnsiTheme="minorEastAsia" w:cs="Times New Roman"/>
          <w:sz w:val="24"/>
          <w:szCs w:val="24"/>
        </w:rPr>
        <w:t>针对行业</w:t>
      </w:r>
      <w:r w:rsidR="00232A68">
        <w:rPr>
          <w:rFonts w:asciiTheme="minorEastAsia" w:hAnsiTheme="minorEastAsia" w:cs="Times New Roman" w:hint="eastAsia"/>
          <w:sz w:val="24"/>
          <w:szCs w:val="24"/>
        </w:rPr>
        <w:t>一般</w:t>
      </w:r>
      <w:r w:rsidR="00AC6A66" w:rsidRPr="00B92C2A">
        <w:rPr>
          <w:rFonts w:asciiTheme="minorEastAsia" w:hAnsiTheme="minorEastAsia" w:cs="Times New Roman"/>
          <w:sz w:val="24"/>
          <w:szCs w:val="24"/>
        </w:rPr>
        <w:t>风险</w:t>
      </w:r>
      <w:r w:rsidR="00AC6A66" w:rsidRPr="00B92C2A">
        <w:rPr>
          <w:rFonts w:asciiTheme="minorEastAsia" w:hAnsiTheme="minorEastAsia" w:cs="Times New Roman" w:hint="eastAsia"/>
          <w:sz w:val="24"/>
          <w:szCs w:val="24"/>
        </w:rPr>
        <w:t>和</w:t>
      </w:r>
      <w:proofErr w:type="gramStart"/>
      <w:r w:rsidR="00296662">
        <w:rPr>
          <w:rFonts w:asciiTheme="minorEastAsia" w:hAnsiTheme="minorEastAsia" w:cs="Times New Roman" w:hint="eastAsia"/>
          <w:sz w:val="24"/>
          <w:szCs w:val="24"/>
        </w:rPr>
        <w:t>互金企业</w:t>
      </w:r>
      <w:proofErr w:type="gramEnd"/>
      <w:r w:rsidR="00296662">
        <w:rPr>
          <w:rFonts w:asciiTheme="minorEastAsia" w:hAnsiTheme="minorEastAsia" w:cs="Times New Roman" w:hint="eastAsia"/>
          <w:sz w:val="24"/>
          <w:szCs w:val="24"/>
        </w:rPr>
        <w:t>的</w:t>
      </w:r>
      <w:r w:rsidR="00232A68">
        <w:rPr>
          <w:rFonts w:asciiTheme="minorEastAsia" w:hAnsiTheme="minorEastAsia" w:cs="Times New Roman" w:hint="eastAsia"/>
          <w:sz w:val="24"/>
          <w:szCs w:val="24"/>
        </w:rPr>
        <w:t>特别</w:t>
      </w:r>
      <w:r w:rsidR="00296662">
        <w:rPr>
          <w:rFonts w:asciiTheme="minorEastAsia" w:hAnsiTheme="minorEastAsia" w:cs="Times New Roman" w:hint="eastAsia"/>
          <w:sz w:val="24"/>
          <w:szCs w:val="24"/>
        </w:rPr>
        <w:t>情况</w:t>
      </w:r>
      <w:r w:rsidR="00AC6A66" w:rsidRPr="00B92C2A">
        <w:rPr>
          <w:rFonts w:asciiTheme="minorEastAsia" w:hAnsiTheme="minorEastAsia" w:cs="Times New Roman"/>
          <w:sz w:val="24"/>
          <w:szCs w:val="24"/>
        </w:rPr>
        <w:t>建立</w:t>
      </w:r>
      <w:r w:rsidR="00AC6A66" w:rsidRPr="00B92C2A">
        <w:rPr>
          <w:rFonts w:asciiTheme="minorEastAsia" w:hAnsiTheme="minorEastAsia" w:cs="Times New Roman" w:hint="eastAsia"/>
          <w:sz w:val="24"/>
          <w:szCs w:val="24"/>
        </w:rPr>
        <w:t>个人信息保护</w:t>
      </w:r>
      <w:r w:rsidR="00AC6A66" w:rsidRPr="00B92C2A">
        <w:rPr>
          <w:rFonts w:asciiTheme="minorEastAsia" w:hAnsiTheme="minorEastAsia" w:cs="Times New Roman"/>
          <w:sz w:val="24"/>
          <w:szCs w:val="24"/>
        </w:rPr>
        <w:t>合规制度</w:t>
      </w:r>
      <w:r w:rsidR="00BA18DE">
        <w:rPr>
          <w:rFonts w:asciiTheme="minorEastAsia" w:hAnsiTheme="minorEastAsia" w:cs="Times New Roman"/>
          <w:sz w:val="24"/>
          <w:szCs w:val="24"/>
        </w:rPr>
        <w:t>。</w:t>
      </w:r>
      <w:r w:rsidR="00AC6A66" w:rsidRPr="00B92C2A">
        <w:rPr>
          <w:rFonts w:asciiTheme="minorEastAsia" w:hAnsiTheme="minorEastAsia" w:cs="Times New Roman" w:hint="eastAsia"/>
          <w:sz w:val="24"/>
          <w:szCs w:val="24"/>
        </w:rPr>
        <w:t>企业合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体系构建的本质目的是“防患于未然”。在合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风险尚未转化为实际的</w:t>
      </w:r>
      <w:r w:rsidR="00BA18DE">
        <w:rPr>
          <w:rFonts w:asciiTheme="minorEastAsia" w:hAnsiTheme="minorEastAsia" w:cs="Times New Roman" w:hint="eastAsia"/>
          <w:sz w:val="24"/>
          <w:szCs w:val="24"/>
        </w:rPr>
        <w:t>法律责任</w:t>
      </w:r>
      <w:r w:rsidR="00AC6A66" w:rsidRPr="00B92C2A">
        <w:rPr>
          <w:rFonts w:asciiTheme="minorEastAsia" w:hAnsiTheme="minorEastAsia" w:cs="Times New Roman" w:hint="eastAsia"/>
          <w:sz w:val="24"/>
          <w:szCs w:val="24"/>
        </w:rPr>
        <w:t>之前，企业应当</w:t>
      </w:r>
      <w:r w:rsidR="00BA18DE">
        <w:rPr>
          <w:rFonts w:asciiTheme="minorEastAsia" w:hAnsiTheme="minorEastAsia" w:cs="Times New Roman" w:hint="eastAsia"/>
          <w:sz w:val="24"/>
          <w:szCs w:val="24"/>
        </w:rPr>
        <w:t>充分评估</w:t>
      </w:r>
      <w:r w:rsidR="00AC6A66" w:rsidRPr="00B92C2A">
        <w:rPr>
          <w:rFonts w:asciiTheme="minorEastAsia" w:hAnsiTheme="minorEastAsia" w:cs="Times New Roman" w:hint="eastAsia"/>
          <w:sz w:val="24"/>
          <w:szCs w:val="24"/>
        </w:rPr>
        <w:t>所在行业的一般风险和企业自身面临的</w:t>
      </w:r>
      <w:r w:rsidR="00232A68">
        <w:rPr>
          <w:rFonts w:asciiTheme="minorEastAsia" w:hAnsiTheme="minorEastAsia" w:cs="Times New Roman" w:hint="eastAsia"/>
          <w:sz w:val="24"/>
          <w:szCs w:val="24"/>
        </w:rPr>
        <w:t>特别</w:t>
      </w:r>
      <w:r w:rsidR="00AC6A66" w:rsidRPr="00B92C2A">
        <w:rPr>
          <w:rFonts w:asciiTheme="minorEastAsia" w:hAnsiTheme="minorEastAsia" w:cs="Times New Roman" w:hint="eastAsia"/>
          <w:sz w:val="24"/>
          <w:szCs w:val="24"/>
        </w:rPr>
        <w:t>风</w:t>
      </w:r>
      <w:r w:rsidR="00AC6A66" w:rsidRPr="00B92C2A">
        <w:rPr>
          <w:rFonts w:asciiTheme="minorEastAsia" w:hAnsiTheme="minorEastAsia" w:cs="Times New Roman" w:hint="eastAsia"/>
          <w:sz w:val="24"/>
          <w:szCs w:val="24"/>
        </w:rPr>
        <w:lastRenderedPageBreak/>
        <w:t>险，并通过建立合规制度最大程度消除</w:t>
      </w:r>
      <w:r w:rsidR="00232A68">
        <w:rPr>
          <w:rFonts w:asciiTheme="minorEastAsia" w:hAnsiTheme="minorEastAsia" w:cs="Times New Roman" w:hint="eastAsia"/>
          <w:sz w:val="24"/>
          <w:szCs w:val="24"/>
        </w:rPr>
        <w:t>法律责任</w:t>
      </w:r>
      <w:r w:rsidR="00AC6A66" w:rsidRPr="00B92C2A">
        <w:rPr>
          <w:rFonts w:asciiTheme="minorEastAsia" w:hAnsiTheme="minorEastAsia" w:cs="Times New Roman" w:hint="eastAsia"/>
          <w:sz w:val="24"/>
          <w:szCs w:val="24"/>
        </w:rPr>
        <w:t>风险。</w:t>
      </w:r>
      <w:r w:rsidR="00232A68">
        <w:rPr>
          <w:rFonts w:asciiTheme="minorEastAsia" w:hAnsiTheme="minorEastAsia" w:cs="Times New Roman" w:hint="eastAsia"/>
          <w:sz w:val="24"/>
          <w:szCs w:val="24"/>
        </w:rPr>
        <w:t>就</w:t>
      </w:r>
      <w:r w:rsidR="00AC6A66" w:rsidRPr="00B92C2A">
        <w:rPr>
          <w:rFonts w:asciiTheme="minorEastAsia" w:hAnsiTheme="minorEastAsia" w:cs="Times New Roman" w:hint="eastAsia"/>
          <w:sz w:val="24"/>
          <w:szCs w:val="24"/>
        </w:rPr>
        <w:t>个人信息保护</w:t>
      </w:r>
      <w:r w:rsidR="00232A68">
        <w:rPr>
          <w:rFonts w:asciiTheme="minorEastAsia" w:hAnsiTheme="minorEastAsia" w:cs="Times New Roman" w:hint="eastAsia"/>
          <w:sz w:val="24"/>
          <w:szCs w:val="24"/>
        </w:rPr>
        <w:t>而言</w:t>
      </w:r>
      <w:r w:rsidR="00AC6A66" w:rsidRPr="00B92C2A">
        <w:rPr>
          <w:rFonts w:asciiTheme="minorEastAsia" w:hAnsiTheme="minorEastAsia" w:cs="Times New Roman" w:hint="eastAsia"/>
          <w:sz w:val="24"/>
          <w:szCs w:val="24"/>
        </w:rPr>
        <w:t>，</w:t>
      </w:r>
      <w:proofErr w:type="gramStart"/>
      <w:r w:rsidR="00AC6A66" w:rsidRPr="00B92C2A">
        <w:rPr>
          <w:rFonts w:asciiTheme="minorEastAsia" w:hAnsiTheme="minorEastAsia" w:cs="Times New Roman" w:hint="eastAsia"/>
          <w:sz w:val="24"/>
          <w:szCs w:val="24"/>
        </w:rPr>
        <w:t>互金企业</w:t>
      </w:r>
      <w:proofErr w:type="gramEnd"/>
      <w:r w:rsidR="00AC6A66" w:rsidRPr="00B92C2A">
        <w:rPr>
          <w:rFonts w:asciiTheme="minorEastAsia" w:hAnsiTheme="minorEastAsia" w:cs="Times New Roman" w:hint="eastAsia"/>
          <w:sz w:val="24"/>
          <w:szCs w:val="24"/>
        </w:rPr>
        <w:t>所面临的行业一般风险包括</w:t>
      </w:r>
      <w:r w:rsidR="00545996">
        <w:rPr>
          <w:rFonts w:asciiTheme="minorEastAsia" w:hAnsiTheme="minorEastAsia" w:cs="Times New Roman" w:hint="eastAsia"/>
          <w:sz w:val="24"/>
          <w:szCs w:val="24"/>
        </w:rPr>
        <w:t>企业未经授权或超越权限</w:t>
      </w:r>
      <w:r w:rsidR="00DC7811">
        <w:rPr>
          <w:rFonts w:asciiTheme="minorEastAsia" w:hAnsiTheme="minorEastAsia" w:cs="Times New Roman" w:hint="eastAsia"/>
          <w:sz w:val="24"/>
          <w:szCs w:val="24"/>
        </w:rPr>
        <w:t>采集</w:t>
      </w:r>
      <w:r w:rsidR="00545996">
        <w:rPr>
          <w:rFonts w:asciiTheme="minorEastAsia" w:hAnsiTheme="minorEastAsia" w:cs="Times New Roman" w:hint="eastAsia"/>
          <w:sz w:val="24"/>
          <w:szCs w:val="24"/>
        </w:rPr>
        <w:t>公民个人信息数据、</w:t>
      </w:r>
      <w:r w:rsidR="0050740C">
        <w:rPr>
          <w:rFonts w:asciiTheme="minorEastAsia" w:hAnsiTheme="minorEastAsia" w:cs="Times New Roman" w:hint="eastAsia"/>
          <w:sz w:val="24"/>
          <w:szCs w:val="24"/>
        </w:rPr>
        <w:t>企业或其员工传播或</w:t>
      </w:r>
      <w:r w:rsidR="00AC6A66" w:rsidRPr="00B92C2A">
        <w:rPr>
          <w:rFonts w:asciiTheme="minorEastAsia" w:hAnsiTheme="minorEastAsia" w:cs="Times New Roman" w:hint="eastAsia"/>
          <w:sz w:val="24"/>
          <w:szCs w:val="24"/>
        </w:rPr>
        <w:t>倒卖个人信息问题</w:t>
      </w:r>
      <w:r w:rsidR="0050740C">
        <w:rPr>
          <w:rFonts w:asciiTheme="minorEastAsia" w:hAnsiTheme="minorEastAsia" w:cs="Times New Roman" w:hint="eastAsia"/>
          <w:sz w:val="24"/>
          <w:szCs w:val="24"/>
        </w:rPr>
        <w:t>、</w:t>
      </w:r>
      <w:r w:rsidR="00AC6A66" w:rsidRPr="00B92C2A">
        <w:rPr>
          <w:rFonts w:asciiTheme="minorEastAsia" w:hAnsiTheme="minorEastAsia" w:cs="Times New Roman" w:hint="eastAsia"/>
          <w:sz w:val="24"/>
          <w:szCs w:val="24"/>
        </w:rPr>
        <w:t>个人信息处理不当导致的个人信息泄露问题等。针对这些问题，</w:t>
      </w:r>
      <w:proofErr w:type="gramStart"/>
      <w:r w:rsidR="00545996">
        <w:rPr>
          <w:rFonts w:asciiTheme="minorEastAsia" w:hAnsiTheme="minorEastAsia" w:cs="Times New Roman" w:hint="eastAsia"/>
          <w:sz w:val="24"/>
          <w:szCs w:val="24"/>
        </w:rPr>
        <w:t>互金</w:t>
      </w:r>
      <w:r w:rsidR="00AC6A66" w:rsidRPr="00B92C2A">
        <w:rPr>
          <w:rFonts w:asciiTheme="minorEastAsia" w:hAnsiTheme="minorEastAsia" w:cs="Times New Roman" w:hint="eastAsia"/>
          <w:sz w:val="24"/>
          <w:szCs w:val="24"/>
        </w:rPr>
        <w:t>企业</w:t>
      </w:r>
      <w:proofErr w:type="gramEnd"/>
      <w:r w:rsidR="00AC6A66" w:rsidRPr="00B92C2A">
        <w:rPr>
          <w:rFonts w:asciiTheme="minorEastAsia" w:hAnsiTheme="minorEastAsia" w:cs="Times New Roman" w:hint="eastAsia"/>
          <w:sz w:val="24"/>
          <w:szCs w:val="24"/>
        </w:rPr>
        <w:t>应当制定关于个人信息</w:t>
      </w:r>
      <w:r w:rsidR="00263288" w:rsidRPr="00263288">
        <w:rPr>
          <w:rFonts w:asciiTheme="minorEastAsia" w:hAnsiTheme="minorEastAsia" w:cs="Times New Roman" w:hint="eastAsia"/>
          <w:sz w:val="24"/>
          <w:szCs w:val="24"/>
        </w:rPr>
        <w:t>收集、存储、使用、加工、传输、提供、公开、删除</w:t>
      </w:r>
      <w:r w:rsidR="00263288">
        <w:rPr>
          <w:rFonts w:asciiTheme="minorEastAsia" w:hAnsiTheme="minorEastAsia" w:cs="Times New Roman" w:hint="eastAsia"/>
          <w:sz w:val="24"/>
          <w:szCs w:val="24"/>
        </w:rPr>
        <w:t>等活动</w:t>
      </w:r>
      <w:r w:rsidR="00AC6A66" w:rsidRPr="00B92C2A">
        <w:rPr>
          <w:rFonts w:asciiTheme="minorEastAsia" w:hAnsiTheme="minorEastAsia" w:cs="Times New Roman" w:hint="eastAsia"/>
          <w:sz w:val="24"/>
          <w:szCs w:val="24"/>
        </w:rPr>
        <w:t>的设备技术要求</w:t>
      </w:r>
      <w:r w:rsidR="009E4943">
        <w:rPr>
          <w:rFonts w:asciiTheme="minorEastAsia" w:hAnsiTheme="minorEastAsia" w:cs="Times New Roman" w:hint="eastAsia"/>
          <w:sz w:val="24"/>
          <w:szCs w:val="24"/>
        </w:rPr>
        <w:t>与</w:t>
      </w:r>
      <w:r w:rsidR="00AC6A66" w:rsidRPr="00B92C2A">
        <w:rPr>
          <w:rFonts w:asciiTheme="minorEastAsia" w:hAnsiTheme="minorEastAsia" w:cs="Times New Roman" w:hint="eastAsia"/>
          <w:sz w:val="24"/>
          <w:szCs w:val="24"/>
        </w:rPr>
        <w:t>程序要求。同时，</w:t>
      </w:r>
      <w:proofErr w:type="gramStart"/>
      <w:r w:rsidR="009E4943">
        <w:rPr>
          <w:rFonts w:asciiTheme="minorEastAsia" w:hAnsiTheme="minorEastAsia" w:cs="Times New Roman" w:hint="eastAsia"/>
          <w:sz w:val="24"/>
          <w:szCs w:val="24"/>
        </w:rPr>
        <w:t>互金</w:t>
      </w:r>
      <w:r w:rsidR="00AC6A66" w:rsidRPr="00B92C2A">
        <w:rPr>
          <w:rFonts w:asciiTheme="minorEastAsia" w:hAnsiTheme="minorEastAsia" w:cs="Times New Roman" w:hint="eastAsia"/>
          <w:sz w:val="24"/>
          <w:szCs w:val="24"/>
        </w:rPr>
        <w:t>企业</w:t>
      </w:r>
      <w:proofErr w:type="gramEnd"/>
      <w:r w:rsidR="00AC6A66" w:rsidRPr="00B92C2A">
        <w:rPr>
          <w:rFonts w:asciiTheme="minorEastAsia" w:hAnsiTheme="minorEastAsia" w:cs="Times New Roman" w:hint="eastAsia"/>
          <w:sz w:val="24"/>
          <w:szCs w:val="24"/>
        </w:rPr>
        <w:t>还应当根据</w:t>
      </w:r>
      <w:r w:rsidR="009E4943">
        <w:rPr>
          <w:rFonts w:asciiTheme="minorEastAsia" w:hAnsiTheme="minorEastAsia" w:cs="Times New Roman" w:hint="eastAsia"/>
          <w:sz w:val="24"/>
          <w:szCs w:val="24"/>
        </w:rPr>
        <w:t>其</w:t>
      </w:r>
      <w:r w:rsidR="00AC6A66" w:rsidRPr="00B92C2A">
        <w:rPr>
          <w:rFonts w:asciiTheme="minorEastAsia" w:hAnsiTheme="minorEastAsia" w:cs="Times New Roman" w:hint="eastAsia"/>
          <w:sz w:val="24"/>
          <w:szCs w:val="24"/>
        </w:rPr>
        <w:t>主营业务、经营范围、营业规模、所在地的监管形势等因素，为</w:t>
      </w:r>
      <w:proofErr w:type="gramStart"/>
      <w:r w:rsidR="009E4943">
        <w:rPr>
          <w:rFonts w:asciiTheme="minorEastAsia" w:hAnsiTheme="minorEastAsia" w:cs="Times New Roman" w:hint="eastAsia"/>
          <w:sz w:val="24"/>
          <w:szCs w:val="24"/>
        </w:rPr>
        <w:t>该互金</w:t>
      </w:r>
      <w:r w:rsidR="00AC6A66" w:rsidRPr="00B92C2A">
        <w:rPr>
          <w:rFonts w:asciiTheme="minorEastAsia" w:hAnsiTheme="minorEastAsia" w:cs="Times New Roman" w:hint="eastAsia"/>
          <w:sz w:val="24"/>
          <w:szCs w:val="24"/>
        </w:rPr>
        <w:t>企业</w:t>
      </w:r>
      <w:proofErr w:type="gramEnd"/>
      <w:r w:rsidR="00AC6A66" w:rsidRPr="00B92C2A">
        <w:rPr>
          <w:rFonts w:asciiTheme="minorEastAsia" w:hAnsiTheme="minorEastAsia" w:cs="Times New Roman" w:hint="eastAsia"/>
          <w:sz w:val="24"/>
          <w:szCs w:val="24"/>
        </w:rPr>
        <w:t>所面临的</w:t>
      </w:r>
      <w:r w:rsidR="009E4943">
        <w:rPr>
          <w:rFonts w:asciiTheme="minorEastAsia" w:hAnsiTheme="minorEastAsia" w:cs="Times New Roman" w:hint="eastAsia"/>
          <w:sz w:val="24"/>
          <w:szCs w:val="24"/>
        </w:rPr>
        <w:t>特别</w:t>
      </w:r>
      <w:r w:rsidR="00AC6A66" w:rsidRPr="00B92C2A">
        <w:rPr>
          <w:rFonts w:asciiTheme="minorEastAsia" w:hAnsiTheme="minorEastAsia" w:cs="Times New Roman" w:hint="eastAsia"/>
          <w:sz w:val="24"/>
          <w:szCs w:val="24"/>
        </w:rPr>
        <w:t>化合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风险制定特别的合规制度。</w:t>
      </w:r>
    </w:p>
    <w:p w:rsidR="000E2526" w:rsidRPr="00B92C2A" w:rsidRDefault="00633394" w:rsidP="003820CD">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第二，</w:t>
      </w:r>
      <w:r w:rsidR="00AC6A66" w:rsidRPr="00B92C2A">
        <w:rPr>
          <w:rFonts w:asciiTheme="minorEastAsia" w:hAnsiTheme="minorEastAsia" w:cs="Times New Roman" w:hint="eastAsia"/>
          <w:sz w:val="24"/>
          <w:szCs w:val="24"/>
        </w:rPr>
        <w:t>针对企业合规制度及其实施情况进行合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体检</w:t>
      </w:r>
      <w:r w:rsidR="002277E7">
        <w:rPr>
          <w:rFonts w:asciiTheme="minorEastAsia" w:hAnsiTheme="minorEastAsia" w:cs="Times New Roman" w:hint="eastAsia"/>
          <w:sz w:val="24"/>
          <w:szCs w:val="24"/>
        </w:rPr>
        <w:t>。</w:t>
      </w:r>
      <w:r w:rsidR="00AC6A66" w:rsidRPr="00B92C2A">
        <w:rPr>
          <w:rFonts w:asciiTheme="minorEastAsia" w:hAnsiTheme="minorEastAsia" w:cs="Times New Roman" w:hint="eastAsia"/>
          <w:sz w:val="24"/>
          <w:szCs w:val="24"/>
        </w:rPr>
        <w:t>合规制度的建立只是合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体系构建的第一步，</w:t>
      </w:r>
      <w:proofErr w:type="gramStart"/>
      <w:r w:rsidR="00A92F25">
        <w:rPr>
          <w:rFonts w:asciiTheme="minorEastAsia" w:hAnsiTheme="minorEastAsia" w:cs="Times New Roman" w:hint="eastAsia"/>
          <w:sz w:val="24"/>
          <w:szCs w:val="24"/>
        </w:rPr>
        <w:t>互金</w:t>
      </w:r>
      <w:r w:rsidR="00AC6A66" w:rsidRPr="00B92C2A">
        <w:rPr>
          <w:rFonts w:asciiTheme="minorEastAsia" w:hAnsiTheme="minorEastAsia" w:cs="Times New Roman" w:hint="eastAsia"/>
          <w:sz w:val="24"/>
          <w:szCs w:val="24"/>
        </w:rPr>
        <w:t>企业</w:t>
      </w:r>
      <w:proofErr w:type="gramEnd"/>
      <w:r w:rsidR="00AC6A66" w:rsidRPr="00B92C2A">
        <w:rPr>
          <w:rFonts w:asciiTheme="minorEastAsia" w:hAnsiTheme="minorEastAsia" w:cs="Times New Roman" w:hint="eastAsia"/>
          <w:sz w:val="24"/>
          <w:szCs w:val="24"/>
        </w:rPr>
        <w:t>还应当确保合规制</w:t>
      </w:r>
      <w:proofErr w:type="gramStart"/>
      <w:r w:rsidR="00AC6A66" w:rsidRPr="00B92C2A">
        <w:rPr>
          <w:rFonts w:asciiTheme="minorEastAsia" w:hAnsiTheme="minorEastAsia" w:cs="Times New Roman" w:hint="eastAsia"/>
          <w:sz w:val="24"/>
          <w:szCs w:val="24"/>
        </w:rPr>
        <w:t>度</w:t>
      </w:r>
      <w:r w:rsidR="00A92F25">
        <w:rPr>
          <w:rFonts w:asciiTheme="minorEastAsia" w:hAnsiTheme="minorEastAsia" w:cs="Times New Roman" w:hint="eastAsia"/>
          <w:sz w:val="24"/>
          <w:szCs w:val="24"/>
        </w:rPr>
        <w:t>严格</w:t>
      </w:r>
      <w:proofErr w:type="gramEnd"/>
      <w:r w:rsidR="00AC6A66" w:rsidRPr="00B92C2A">
        <w:rPr>
          <w:rFonts w:asciiTheme="minorEastAsia" w:hAnsiTheme="minorEastAsia" w:cs="Times New Roman" w:hint="eastAsia"/>
          <w:sz w:val="24"/>
          <w:szCs w:val="24"/>
        </w:rPr>
        <w:t>落实到其日常经营中。日常经营中对合规制度的落实，主要通过进行定期全方面合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体检和不定期的专项合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体检得以保证。全方面合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体检的内容包括但不限于：（1）合规制度是否因为法律法规的更新、执法标准的变化而落后，是否需要针对企业的业务拓展和变化而补充、修订；（2）合规制度是否在企业的日常运营中得到充分遵守；（3）企业对合规制度的执行是否存在强有力的监督。不定期的专项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体检将针对企业合规制度中的某项或者某几项合规制度，进行专门的检查。</w:t>
      </w:r>
    </w:p>
    <w:p w:rsidR="000E2526" w:rsidRPr="00B92C2A" w:rsidRDefault="003820CD" w:rsidP="007E1BBC">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第三，</w:t>
      </w:r>
      <w:r w:rsidR="00AC6A66" w:rsidRPr="00B92C2A">
        <w:rPr>
          <w:rFonts w:asciiTheme="minorEastAsia" w:hAnsiTheme="minorEastAsia" w:cs="Times New Roman" w:hint="eastAsia"/>
          <w:sz w:val="24"/>
          <w:szCs w:val="24"/>
        </w:rPr>
        <w:t>针对</w:t>
      </w:r>
      <w:r w:rsidR="001E535A">
        <w:rPr>
          <w:rFonts w:asciiTheme="minorEastAsia" w:hAnsiTheme="minorEastAsia" w:cs="Times New Roman" w:hint="eastAsia"/>
          <w:sz w:val="24"/>
          <w:szCs w:val="24"/>
        </w:rPr>
        <w:t>已发生的</w:t>
      </w:r>
      <w:r w:rsidR="00AC6A66" w:rsidRPr="00B92C2A">
        <w:rPr>
          <w:rFonts w:asciiTheme="minorEastAsia" w:hAnsiTheme="minorEastAsia" w:cs="Times New Roman" w:hint="eastAsia"/>
          <w:sz w:val="24"/>
          <w:szCs w:val="24"/>
        </w:rPr>
        <w:t>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风险展开内部调查，</w:t>
      </w:r>
      <w:proofErr w:type="gramStart"/>
      <w:r w:rsidR="00AC6A66" w:rsidRPr="00B92C2A">
        <w:rPr>
          <w:rFonts w:asciiTheme="minorEastAsia" w:hAnsiTheme="minorEastAsia" w:cs="Times New Roman" w:hint="eastAsia"/>
          <w:sz w:val="24"/>
          <w:szCs w:val="24"/>
        </w:rPr>
        <w:t>完善合</w:t>
      </w:r>
      <w:proofErr w:type="gramEnd"/>
      <w:r w:rsidR="00AC6A66" w:rsidRPr="00B92C2A">
        <w:rPr>
          <w:rFonts w:asciiTheme="minorEastAsia" w:hAnsiTheme="minorEastAsia" w:cs="Times New Roman" w:hint="eastAsia"/>
          <w:sz w:val="24"/>
          <w:szCs w:val="24"/>
        </w:rPr>
        <w:t>规制度</w:t>
      </w:r>
      <w:r>
        <w:rPr>
          <w:rFonts w:asciiTheme="minorEastAsia" w:hAnsiTheme="minorEastAsia" w:cs="Times New Roman" w:hint="eastAsia"/>
          <w:sz w:val="24"/>
          <w:szCs w:val="24"/>
        </w:rPr>
        <w:t>。</w:t>
      </w:r>
      <w:r w:rsidR="00AC6A66" w:rsidRPr="00B92C2A">
        <w:rPr>
          <w:rFonts w:asciiTheme="minorEastAsia" w:hAnsiTheme="minorEastAsia" w:cs="Times New Roman" w:hint="eastAsia"/>
          <w:sz w:val="24"/>
          <w:szCs w:val="24"/>
        </w:rPr>
        <w:t>即便合</w:t>
      </w:r>
      <w:proofErr w:type="gramStart"/>
      <w:r w:rsidR="00AC6A66" w:rsidRPr="00B92C2A">
        <w:rPr>
          <w:rFonts w:asciiTheme="minorEastAsia" w:hAnsiTheme="minorEastAsia" w:cs="Times New Roman" w:hint="eastAsia"/>
          <w:sz w:val="24"/>
          <w:szCs w:val="24"/>
        </w:rPr>
        <w:t>规制度再完善</w:t>
      </w:r>
      <w:proofErr w:type="gramEnd"/>
      <w:r w:rsidR="00AC6A66" w:rsidRPr="00B92C2A">
        <w:rPr>
          <w:rFonts w:asciiTheme="minorEastAsia" w:hAnsiTheme="minorEastAsia" w:cs="Times New Roman" w:hint="eastAsia"/>
          <w:sz w:val="24"/>
          <w:szCs w:val="24"/>
        </w:rPr>
        <w:t>、执行</w:t>
      </w:r>
      <w:proofErr w:type="gramStart"/>
      <w:r w:rsidR="00AC6A66" w:rsidRPr="00B92C2A">
        <w:rPr>
          <w:rFonts w:asciiTheme="minorEastAsia" w:hAnsiTheme="minorEastAsia" w:cs="Times New Roman" w:hint="eastAsia"/>
          <w:sz w:val="24"/>
          <w:szCs w:val="24"/>
        </w:rPr>
        <w:t>监督再</w:t>
      </w:r>
      <w:proofErr w:type="gramEnd"/>
      <w:r w:rsidR="00AC6A66" w:rsidRPr="00B92C2A">
        <w:rPr>
          <w:rFonts w:asciiTheme="minorEastAsia" w:hAnsiTheme="minorEastAsia" w:cs="Times New Roman" w:hint="eastAsia"/>
          <w:sz w:val="24"/>
          <w:szCs w:val="24"/>
        </w:rPr>
        <w:t>严格，企业也难免会面临紧急的合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风险。出现合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风险后，企业首先应当对违反国家法律法规和企业相关制度的员工展开内部调查，并对员工违法违规的证据予以固定，以确保在未来可能面临的刑事和行政执法中配合政府部门的调查，减轻企业责任。在处理完合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风险后，企业也应当总结本次合</w:t>
      </w:r>
      <w:proofErr w:type="gramStart"/>
      <w:r w:rsidR="00AC6A66" w:rsidRPr="00B92C2A">
        <w:rPr>
          <w:rFonts w:asciiTheme="minorEastAsia" w:hAnsiTheme="minorEastAsia" w:cs="Times New Roman" w:hint="eastAsia"/>
          <w:sz w:val="24"/>
          <w:szCs w:val="24"/>
        </w:rPr>
        <w:t>规</w:t>
      </w:r>
      <w:proofErr w:type="gramEnd"/>
      <w:r w:rsidR="00AC6A66" w:rsidRPr="00B92C2A">
        <w:rPr>
          <w:rFonts w:asciiTheme="minorEastAsia" w:hAnsiTheme="minorEastAsia" w:cs="Times New Roman" w:hint="eastAsia"/>
          <w:sz w:val="24"/>
          <w:szCs w:val="24"/>
        </w:rPr>
        <w:t>风险发生的原因，并将获得的经验教训体现在企业的合规制度中，以避免重蹈覆辙，遭受更为严厉的处罚。</w:t>
      </w:r>
    </w:p>
    <w:sectPr w:rsidR="000E2526" w:rsidRPr="00B92C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1A" w:rsidRDefault="00557C1A" w:rsidP="0074722F">
      <w:r>
        <w:separator/>
      </w:r>
    </w:p>
  </w:endnote>
  <w:endnote w:type="continuationSeparator" w:id="0">
    <w:p w:rsidR="00557C1A" w:rsidRDefault="00557C1A" w:rsidP="0074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1A" w:rsidRDefault="00557C1A" w:rsidP="0074722F">
      <w:r>
        <w:separator/>
      </w:r>
    </w:p>
  </w:footnote>
  <w:footnote w:type="continuationSeparator" w:id="0">
    <w:p w:rsidR="00557C1A" w:rsidRDefault="00557C1A" w:rsidP="0074722F">
      <w:r>
        <w:continuationSeparator/>
      </w:r>
    </w:p>
  </w:footnote>
  <w:footnote w:id="1">
    <w:p w:rsidR="00193139" w:rsidRDefault="00193139">
      <w:pPr>
        <w:pStyle w:val="a6"/>
      </w:pPr>
      <w:r>
        <w:rPr>
          <w:rStyle w:val="a7"/>
        </w:rPr>
        <w:footnoteRef/>
      </w:r>
      <w:r w:rsidR="006E28CB">
        <w:rPr>
          <w:rFonts w:hint="eastAsia"/>
        </w:rPr>
        <w:t xml:space="preserve"> </w:t>
      </w:r>
      <w:r w:rsidR="006E28CB">
        <w:rPr>
          <w:rFonts w:hint="eastAsia"/>
        </w:rPr>
        <w:t>详见</w:t>
      </w:r>
      <w:r w:rsidR="004A4C00">
        <w:rPr>
          <w:rFonts w:hint="eastAsia"/>
        </w:rPr>
        <w:t>北京市第一中级人民法院</w:t>
      </w:r>
      <w:r w:rsidR="004A4C00" w:rsidRPr="004A4C00">
        <w:rPr>
          <w:rFonts w:hint="eastAsia"/>
        </w:rPr>
        <w:t>（</w:t>
      </w:r>
      <w:r w:rsidR="004A4C00" w:rsidRPr="004A4C00">
        <w:rPr>
          <w:rFonts w:hint="eastAsia"/>
        </w:rPr>
        <w:t>2017</w:t>
      </w:r>
      <w:r w:rsidR="004A4C00" w:rsidRPr="004A4C00">
        <w:rPr>
          <w:rFonts w:hint="eastAsia"/>
        </w:rPr>
        <w:t>）京</w:t>
      </w:r>
      <w:r w:rsidR="004A4C00" w:rsidRPr="004A4C00">
        <w:rPr>
          <w:rFonts w:hint="eastAsia"/>
        </w:rPr>
        <w:t>01</w:t>
      </w:r>
      <w:r w:rsidR="004A4C00" w:rsidRPr="004A4C00">
        <w:rPr>
          <w:rFonts w:hint="eastAsia"/>
        </w:rPr>
        <w:t>民终</w:t>
      </w:r>
      <w:r w:rsidR="004A4C00" w:rsidRPr="004A4C00">
        <w:rPr>
          <w:rFonts w:hint="eastAsia"/>
        </w:rPr>
        <w:t>509</w:t>
      </w:r>
      <w:r w:rsidR="00FA4C20">
        <w:rPr>
          <w:rFonts w:hint="eastAsia"/>
        </w:rPr>
        <w:t>号民事判决庞理鹏诉</w:t>
      </w:r>
      <w:r w:rsidR="00FA4C20" w:rsidRPr="00FA4C20">
        <w:rPr>
          <w:rFonts w:hint="eastAsia"/>
        </w:rPr>
        <w:t>过北京趣拿信息技术有限公司</w:t>
      </w:r>
      <w:r w:rsidR="006E28CB">
        <w:rPr>
          <w:rFonts w:hint="eastAsia"/>
        </w:rPr>
        <w:t>案，</w:t>
      </w:r>
      <w:r w:rsidR="00544D6F">
        <w:rPr>
          <w:rFonts w:hint="eastAsia"/>
        </w:rPr>
        <w:t>《</w:t>
      </w:r>
      <w:r w:rsidR="00544D6F" w:rsidRPr="00544D6F">
        <w:rPr>
          <w:rFonts w:hint="eastAsia"/>
        </w:rPr>
        <w:t>最高人民法院发布第一批涉互联网典型案例</w:t>
      </w:r>
      <w:r w:rsidR="00544D6F">
        <w:rPr>
          <w:rFonts w:hint="eastAsia"/>
        </w:rPr>
        <w:t>》，</w:t>
      </w:r>
      <w:r w:rsidR="004A4C00">
        <w:rPr>
          <w:rFonts w:hint="eastAsia"/>
        </w:rPr>
        <w:t>载《人民法院报》</w:t>
      </w:r>
      <w:r w:rsidR="004A4C00">
        <w:rPr>
          <w:rFonts w:hint="eastAsia"/>
        </w:rPr>
        <w:t>2</w:t>
      </w:r>
      <w:r w:rsidR="004A4C00">
        <w:t>018</w:t>
      </w:r>
      <w:r w:rsidR="004A4C00">
        <w:t>年</w:t>
      </w:r>
      <w:r w:rsidR="004A4C00">
        <w:rPr>
          <w:rFonts w:hint="eastAsia"/>
        </w:rPr>
        <w:t>8</w:t>
      </w:r>
      <w:r w:rsidR="004A4C00">
        <w:rPr>
          <w:rFonts w:hint="eastAsia"/>
        </w:rPr>
        <w:t>月</w:t>
      </w:r>
      <w:r w:rsidR="004A4C00">
        <w:rPr>
          <w:rFonts w:hint="eastAsia"/>
        </w:rPr>
        <w:t>1</w:t>
      </w:r>
      <w:r w:rsidR="004A4C00">
        <w:t>7</w:t>
      </w:r>
      <w:r w:rsidR="004A4C00">
        <w:t>日</w:t>
      </w:r>
      <w:r w:rsidR="004A4C00">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3FB9"/>
    <w:multiLevelType w:val="hybridMultilevel"/>
    <w:tmpl w:val="A108323C"/>
    <w:lvl w:ilvl="0" w:tplc="699A9DE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3107261"/>
    <w:multiLevelType w:val="hybridMultilevel"/>
    <w:tmpl w:val="7B946B5C"/>
    <w:lvl w:ilvl="0" w:tplc="699A9DE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1CF336B"/>
    <w:multiLevelType w:val="hybridMultilevel"/>
    <w:tmpl w:val="95705B64"/>
    <w:lvl w:ilvl="0" w:tplc="699A9DE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A7"/>
    <w:rsid w:val="FE5B1448"/>
    <w:rsid w:val="00001F6D"/>
    <w:rsid w:val="00004BB9"/>
    <w:rsid w:val="00012C59"/>
    <w:rsid w:val="000172C3"/>
    <w:rsid w:val="000326A5"/>
    <w:rsid w:val="00050F2D"/>
    <w:rsid w:val="000615BE"/>
    <w:rsid w:val="00065F68"/>
    <w:rsid w:val="0007200E"/>
    <w:rsid w:val="000738E1"/>
    <w:rsid w:val="00076CB1"/>
    <w:rsid w:val="00094DF7"/>
    <w:rsid w:val="000A7948"/>
    <w:rsid w:val="000B03A1"/>
    <w:rsid w:val="000B0F17"/>
    <w:rsid w:val="000B1AEF"/>
    <w:rsid w:val="000B54B2"/>
    <w:rsid w:val="000D597D"/>
    <w:rsid w:val="000D74FF"/>
    <w:rsid w:val="000E2526"/>
    <w:rsid w:val="0010623C"/>
    <w:rsid w:val="001078A7"/>
    <w:rsid w:val="00110610"/>
    <w:rsid w:val="00115EE1"/>
    <w:rsid w:val="00122DF0"/>
    <w:rsid w:val="001251A6"/>
    <w:rsid w:val="0012698B"/>
    <w:rsid w:val="0015211D"/>
    <w:rsid w:val="0015738D"/>
    <w:rsid w:val="001640B9"/>
    <w:rsid w:val="00166207"/>
    <w:rsid w:val="00174E90"/>
    <w:rsid w:val="00187D53"/>
    <w:rsid w:val="00193139"/>
    <w:rsid w:val="00194F84"/>
    <w:rsid w:val="001B5FBC"/>
    <w:rsid w:val="001B71E5"/>
    <w:rsid w:val="001D5261"/>
    <w:rsid w:val="001E3D4A"/>
    <w:rsid w:val="001E535A"/>
    <w:rsid w:val="001E670B"/>
    <w:rsid w:val="001F4C94"/>
    <w:rsid w:val="00200888"/>
    <w:rsid w:val="002101DC"/>
    <w:rsid w:val="00220E9D"/>
    <w:rsid w:val="002220F1"/>
    <w:rsid w:val="002277E7"/>
    <w:rsid w:val="00232A68"/>
    <w:rsid w:val="00234794"/>
    <w:rsid w:val="00252673"/>
    <w:rsid w:val="0026221A"/>
    <w:rsid w:val="00263288"/>
    <w:rsid w:val="0026445D"/>
    <w:rsid w:val="002753A4"/>
    <w:rsid w:val="0028703E"/>
    <w:rsid w:val="00296662"/>
    <w:rsid w:val="002B1AEF"/>
    <w:rsid w:val="002C336F"/>
    <w:rsid w:val="002D0139"/>
    <w:rsid w:val="002E0258"/>
    <w:rsid w:val="002E0EF7"/>
    <w:rsid w:val="002E4131"/>
    <w:rsid w:val="002F1EC3"/>
    <w:rsid w:val="002F2317"/>
    <w:rsid w:val="003077B4"/>
    <w:rsid w:val="0032329B"/>
    <w:rsid w:val="00333607"/>
    <w:rsid w:val="00345D19"/>
    <w:rsid w:val="00347A28"/>
    <w:rsid w:val="00365D34"/>
    <w:rsid w:val="003761D5"/>
    <w:rsid w:val="003820CD"/>
    <w:rsid w:val="00392239"/>
    <w:rsid w:val="00395411"/>
    <w:rsid w:val="00397100"/>
    <w:rsid w:val="003D767E"/>
    <w:rsid w:val="003F0E99"/>
    <w:rsid w:val="004173C1"/>
    <w:rsid w:val="00417D0A"/>
    <w:rsid w:val="0042431A"/>
    <w:rsid w:val="0043214C"/>
    <w:rsid w:val="00443911"/>
    <w:rsid w:val="00445F99"/>
    <w:rsid w:val="00450275"/>
    <w:rsid w:val="00463AFF"/>
    <w:rsid w:val="00477176"/>
    <w:rsid w:val="004929BB"/>
    <w:rsid w:val="00494A4A"/>
    <w:rsid w:val="004959BC"/>
    <w:rsid w:val="004A08ED"/>
    <w:rsid w:val="004A4C00"/>
    <w:rsid w:val="004B1813"/>
    <w:rsid w:val="004B459A"/>
    <w:rsid w:val="004E2208"/>
    <w:rsid w:val="0050651E"/>
    <w:rsid w:val="0050740C"/>
    <w:rsid w:val="00512276"/>
    <w:rsid w:val="00516A09"/>
    <w:rsid w:val="00524864"/>
    <w:rsid w:val="00535FE7"/>
    <w:rsid w:val="00544D6F"/>
    <w:rsid w:val="00545996"/>
    <w:rsid w:val="00554707"/>
    <w:rsid w:val="00557C1A"/>
    <w:rsid w:val="00564034"/>
    <w:rsid w:val="00572445"/>
    <w:rsid w:val="0058088C"/>
    <w:rsid w:val="00581AE2"/>
    <w:rsid w:val="005C5EB7"/>
    <w:rsid w:val="005E54C8"/>
    <w:rsid w:val="005F1549"/>
    <w:rsid w:val="005F4F4F"/>
    <w:rsid w:val="005F6FD1"/>
    <w:rsid w:val="005F72C7"/>
    <w:rsid w:val="00601F9F"/>
    <w:rsid w:val="00604E48"/>
    <w:rsid w:val="00610FFD"/>
    <w:rsid w:val="00611F98"/>
    <w:rsid w:val="00615D1E"/>
    <w:rsid w:val="00633394"/>
    <w:rsid w:val="0064519E"/>
    <w:rsid w:val="0065363A"/>
    <w:rsid w:val="00672CD1"/>
    <w:rsid w:val="00674607"/>
    <w:rsid w:val="00685960"/>
    <w:rsid w:val="006A0A81"/>
    <w:rsid w:val="006A2393"/>
    <w:rsid w:val="006B4336"/>
    <w:rsid w:val="006B7BCF"/>
    <w:rsid w:val="006D4B0E"/>
    <w:rsid w:val="006E0C96"/>
    <w:rsid w:val="006E1AE1"/>
    <w:rsid w:val="006E28CB"/>
    <w:rsid w:val="006F0AFB"/>
    <w:rsid w:val="007056EA"/>
    <w:rsid w:val="0072054A"/>
    <w:rsid w:val="007209FA"/>
    <w:rsid w:val="00725881"/>
    <w:rsid w:val="007269A4"/>
    <w:rsid w:val="00726F08"/>
    <w:rsid w:val="00736395"/>
    <w:rsid w:val="00740989"/>
    <w:rsid w:val="007439F1"/>
    <w:rsid w:val="00744787"/>
    <w:rsid w:val="00745853"/>
    <w:rsid w:val="0074722F"/>
    <w:rsid w:val="007532A7"/>
    <w:rsid w:val="007560DD"/>
    <w:rsid w:val="00757B33"/>
    <w:rsid w:val="00763876"/>
    <w:rsid w:val="00763AB5"/>
    <w:rsid w:val="00765DCD"/>
    <w:rsid w:val="0077051C"/>
    <w:rsid w:val="00774F16"/>
    <w:rsid w:val="00781369"/>
    <w:rsid w:val="00790F0B"/>
    <w:rsid w:val="007A2338"/>
    <w:rsid w:val="007A2A56"/>
    <w:rsid w:val="007B4094"/>
    <w:rsid w:val="007B61BB"/>
    <w:rsid w:val="007C1A93"/>
    <w:rsid w:val="007D4F04"/>
    <w:rsid w:val="007E1BBC"/>
    <w:rsid w:val="00801147"/>
    <w:rsid w:val="00803450"/>
    <w:rsid w:val="00804E32"/>
    <w:rsid w:val="00822747"/>
    <w:rsid w:val="00825A1B"/>
    <w:rsid w:val="008324BB"/>
    <w:rsid w:val="00837C45"/>
    <w:rsid w:val="00840745"/>
    <w:rsid w:val="008A3622"/>
    <w:rsid w:val="008A583C"/>
    <w:rsid w:val="008B2853"/>
    <w:rsid w:val="008C31DA"/>
    <w:rsid w:val="008C4667"/>
    <w:rsid w:val="008C626D"/>
    <w:rsid w:val="008E79B8"/>
    <w:rsid w:val="0091108C"/>
    <w:rsid w:val="00912D9F"/>
    <w:rsid w:val="00916334"/>
    <w:rsid w:val="0092133F"/>
    <w:rsid w:val="0092392C"/>
    <w:rsid w:val="0092401C"/>
    <w:rsid w:val="00935558"/>
    <w:rsid w:val="0093693A"/>
    <w:rsid w:val="00950D1C"/>
    <w:rsid w:val="00953E07"/>
    <w:rsid w:val="00967F0F"/>
    <w:rsid w:val="00976DED"/>
    <w:rsid w:val="009B0828"/>
    <w:rsid w:val="009B728E"/>
    <w:rsid w:val="009D0068"/>
    <w:rsid w:val="009D6064"/>
    <w:rsid w:val="009E4943"/>
    <w:rsid w:val="009F1BD3"/>
    <w:rsid w:val="00A026F4"/>
    <w:rsid w:val="00A0279C"/>
    <w:rsid w:val="00A06F93"/>
    <w:rsid w:val="00A07CD4"/>
    <w:rsid w:val="00A11653"/>
    <w:rsid w:val="00A142DD"/>
    <w:rsid w:val="00A27833"/>
    <w:rsid w:val="00A35D8E"/>
    <w:rsid w:val="00A57A9D"/>
    <w:rsid w:val="00A67172"/>
    <w:rsid w:val="00A715F5"/>
    <w:rsid w:val="00A77B5D"/>
    <w:rsid w:val="00A77B69"/>
    <w:rsid w:val="00A90354"/>
    <w:rsid w:val="00A92F25"/>
    <w:rsid w:val="00A932CC"/>
    <w:rsid w:val="00A96DC4"/>
    <w:rsid w:val="00AC0C31"/>
    <w:rsid w:val="00AC6A66"/>
    <w:rsid w:val="00AC7AF0"/>
    <w:rsid w:val="00AD064E"/>
    <w:rsid w:val="00AD1A2A"/>
    <w:rsid w:val="00AD4D1A"/>
    <w:rsid w:val="00AE2B33"/>
    <w:rsid w:val="00AE5058"/>
    <w:rsid w:val="00B04933"/>
    <w:rsid w:val="00B06CEF"/>
    <w:rsid w:val="00B11CC3"/>
    <w:rsid w:val="00B14021"/>
    <w:rsid w:val="00B2348E"/>
    <w:rsid w:val="00B23728"/>
    <w:rsid w:val="00B26196"/>
    <w:rsid w:val="00B7101C"/>
    <w:rsid w:val="00B7176D"/>
    <w:rsid w:val="00B817EF"/>
    <w:rsid w:val="00B86D9C"/>
    <w:rsid w:val="00B92C2A"/>
    <w:rsid w:val="00B94A5F"/>
    <w:rsid w:val="00BA18DE"/>
    <w:rsid w:val="00BB33F9"/>
    <w:rsid w:val="00BE3839"/>
    <w:rsid w:val="00BE5DBF"/>
    <w:rsid w:val="00C018F5"/>
    <w:rsid w:val="00C03F80"/>
    <w:rsid w:val="00C11C34"/>
    <w:rsid w:val="00C20C17"/>
    <w:rsid w:val="00C248AA"/>
    <w:rsid w:val="00C37E95"/>
    <w:rsid w:val="00C50705"/>
    <w:rsid w:val="00C60ABA"/>
    <w:rsid w:val="00C61D2A"/>
    <w:rsid w:val="00C63A42"/>
    <w:rsid w:val="00C7083B"/>
    <w:rsid w:val="00C7196B"/>
    <w:rsid w:val="00C744CD"/>
    <w:rsid w:val="00C9426D"/>
    <w:rsid w:val="00CA6511"/>
    <w:rsid w:val="00CC2009"/>
    <w:rsid w:val="00CC3CD9"/>
    <w:rsid w:val="00CF0CED"/>
    <w:rsid w:val="00D10F44"/>
    <w:rsid w:val="00D16197"/>
    <w:rsid w:val="00D17420"/>
    <w:rsid w:val="00D2156F"/>
    <w:rsid w:val="00D21FEC"/>
    <w:rsid w:val="00D25EBF"/>
    <w:rsid w:val="00D4565B"/>
    <w:rsid w:val="00D7589A"/>
    <w:rsid w:val="00D76FC0"/>
    <w:rsid w:val="00D84686"/>
    <w:rsid w:val="00DA2198"/>
    <w:rsid w:val="00DC50CB"/>
    <w:rsid w:val="00DC7811"/>
    <w:rsid w:val="00DD782F"/>
    <w:rsid w:val="00DE06F9"/>
    <w:rsid w:val="00DF175E"/>
    <w:rsid w:val="00DF2469"/>
    <w:rsid w:val="00DF34CE"/>
    <w:rsid w:val="00E27CDC"/>
    <w:rsid w:val="00E448CB"/>
    <w:rsid w:val="00E54A42"/>
    <w:rsid w:val="00E65794"/>
    <w:rsid w:val="00E6760F"/>
    <w:rsid w:val="00E67F0C"/>
    <w:rsid w:val="00E903B6"/>
    <w:rsid w:val="00EA4D9E"/>
    <w:rsid w:val="00EA70B1"/>
    <w:rsid w:val="00EB2335"/>
    <w:rsid w:val="00EB3D16"/>
    <w:rsid w:val="00EB40EB"/>
    <w:rsid w:val="00EB71E1"/>
    <w:rsid w:val="00EC7B87"/>
    <w:rsid w:val="00EE16F4"/>
    <w:rsid w:val="00EE1B94"/>
    <w:rsid w:val="00EE7D7A"/>
    <w:rsid w:val="00EF6A60"/>
    <w:rsid w:val="00F013EE"/>
    <w:rsid w:val="00F03F25"/>
    <w:rsid w:val="00F05A5F"/>
    <w:rsid w:val="00F116F1"/>
    <w:rsid w:val="00F17F8B"/>
    <w:rsid w:val="00F2561A"/>
    <w:rsid w:val="00F326C6"/>
    <w:rsid w:val="00F40DFA"/>
    <w:rsid w:val="00F435B4"/>
    <w:rsid w:val="00F45769"/>
    <w:rsid w:val="00F46474"/>
    <w:rsid w:val="00F55ED3"/>
    <w:rsid w:val="00F72956"/>
    <w:rsid w:val="00F92835"/>
    <w:rsid w:val="00FA07F2"/>
    <w:rsid w:val="00FA4C20"/>
    <w:rsid w:val="00FA7E20"/>
    <w:rsid w:val="00FB7393"/>
    <w:rsid w:val="00FC39D6"/>
    <w:rsid w:val="00FC4498"/>
    <w:rsid w:val="00FD49DE"/>
    <w:rsid w:val="3FFE0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64"/>
    <w:pPr>
      <w:widowControl w:val="0"/>
      <w:jc w:val="both"/>
    </w:pPr>
    <w:rPr>
      <w:kern w:val="2"/>
      <w:sz w:val="21"/>
      <w:szCs w:val="22"/>
    </w:rPr>
  </w:style>
  <w:style w:type="paragraph" w:styleId="1">
    <w:name w:val="heading 1"/>
    <w:basedOn w:val="a"/>
    <w:next w:val="a"/>
    <w:link w:val="1Char"/>
    <w:uiPriority w:val="9"/>
    <w:qFormat/>
    <w:pPr>
      <w:jc w:val="center"/>
      <w:outlineLvl w:val="0"/>
    </w:pPr>
    <w:rPr>
      <w:rFonts w:ascii="Times New Roman" w:hAnsi="Times New Roman" w:cs="Times New Roman"/>
      <w:b/>
      <w:sz w:val="28"/>
      <w:szCs w:val="28"/>
    </w:rPr>
  </w:style>
  <w:style w:type="paragraph" w:styleId="2">
    <w:name w:val="heading 2"/>
    <w:basedOn w:val="a"/>
    <w:next w:val="a"/>
    <w:link w:val="2Char"/>
    <w:uiPriority w:val="9"/>
    <w:unhideWhenUsed/>
    <w:qFormat/>
    <w:pPr>
      <w:outlineLvl w:val="1"/>
    </w:pPr>
    <w:rPr>
      <w:rFonts w:ascii="Times New Roman" w:hAnsi="Times New Roman" w:cs="Times New Roman"/>
      <w:b/>
      <w:sz w:val="24"/>
      <w:szCs w:val="24"/>
    </w:rPr>
  </w:style>
  <w:style w:type="paragraph" w:styleId="3">
    <w:name w:val="heading 3"/>
    <w:basedOn w:val="a"/>
    <w:next w:val="a"/>
    <w:link w:val="3Char"/>
    <w:uiPriority w:val="9"/>
    <w:unhideWhenUsed/>
    <w:qFormat/>
    <w:pPr>
      <w:outlineLvl w:val="2"/>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Times New Roman" w:hAnsi="Times New Roman" w:cs="Times New Roman"/>
      <w:b/>
      <w:kern w:val="2"/>
      <w:sz w:val="28"/>
      <w:szCs w:val="28"/>
    </w:rPr>
  </w:style>
  <w:style w:type="character" w:customStyle="1" w:styleId="2Char">
    <w:name w:val="标题 2 Char"/>
    <w:basedOn w:val="a0"/>
    <w:link w:val="2"/>
    <w:uiPriority w:val="9"/>
    <w:rPr>
      <w:rFonts w:ascii="Times New Roman" w:hAnsi="Times New Roman" w:cs="Times New Roman"/>
      <w:b/>
      <w:kern w:val="2"/>
      <w:sz w:val="24"/>
      <w:szCs w:val="24"/>
    </w:rPr>
  </w:style>
  <w:style w:type="character" w:customStyle="1" w:styleId="3Char">
    <w:name w:val="标题 3 Char"/>
    <w:basedOn w:val="a0"/>
    <w:link w:val="3"/>
    <w:uiPriority w:val="9"/>
    <w:rPr>
      <w:rFonts w:ascii="Times New Roman" w:hAnsi="Times New Roman" w:cs="Times New Roman"/>
      <w:b/>
      <w:kern w:val="2"/>
      <w:sz w:val="21"/>
      <w:szCs w:val="22"/>
    </w:rPr>
  </w:style>
  <w:style w:type="paragraph" w:styleId="a6">
    <w:name w:val="footnote text"/>
    <w:basedOn w:val="a"/>
    <w:link w:val="Char1"/>
    <w:uiPriority w:val="99"/>
    <w:semiHidden/>
    <w:unhideWhenUsed/>
    <w:rsid w:val="00193139"/>
    <w:pPr>
      <w:snapToGrid w:val="0"/>
      <w:jc w:val="left"/>
    </w:pPr>
    <w:rPr>
      <w:sz w:val="18"/>
      <w:szCs w:val="18"/>
    </w:rPr>
  </w:style>
  <w:style w:type="character" w:customStyle="1" w:styleId="Char1">
    <w:name w:val="脚注文本 Char"/>
    <w:basedOn w:val="a0"/>
    <w:link w:val="a6"/>
    <w:uiPriority w:val="99"/>
    <w:semiHidden/>
    <w:rsid w:val="00193139"/>
    <w:rPr>
      <w:kern w:val="2"/>
      <w:sz w:val="18"/>
      <w:szCs w:val="18"/>
    </w:rPr>
  </w:style>
  <w:style w:type="character" w:styleId="a7">
    <w:name w:val="footnote reference"/>
    <w:basedOn w:val="a0"/>
    <w:uiPriority w:val="99"/>
    <w:semiHidden/>
    <w:unhideWhenUsed/>
    <w:rsid w:val="001931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64"/>
    <w:pPr>
      <w:widowControl w:val="0"/>
      <w:jc w:val="both"/>
    </w:pPr>
    <w:rPr>
      <w:kern w:val="2"/>
      <w:sz w:val="21"/>
      <w:szCs w:val="22"/>
    </w:rPr>
  </w:style>
  <w:style w:type="paragraph" w:styleId="1">
    <w:name w:val="heading 1"/>
    <w:basedOn w:val="a"/>
    <w:next w:val="a"/>
    <w:link w:val="1Char"/>
    <w:uiPriority w:val="9"/>
    <w:qFormat/>
    <w:pPr>
      <w:jc w:val="center"/>
      <w:outlineLvl w:val="0"/>
    </w:pPr>
    <w:rPr>
      <w:rFonts w:ascii="Times New Roman" w:hAnsi="Times New Roman" w:cs="Times New Roman"/>
      <w:b/>
      <w:sz w:val="28"/>
      <w:szCs w:val="28"/>
    </w:rPr>
  </w:style>
  <w:style w:type="paragraph" w:styleId="2">
    <w:name w:val="heading 2"/>
    <w:basedOn w:val="a"/>
    <w:next w:val="a"/>
    <w:link w:val="2Char"/>
    <w:uiPriority w:val="9"/>
    <w:unhideWhenUsed/>
    <w:qFormat/>
    <w:pPr>
      <w:outlineLvl w:val="1"/>
    </w:pPr>
    <w:rPr>
      <w:rFonts w:ascii="Times New Roman" w:hAnsi="Times New Roman" w:cs="Times New Roman"/>
      <w:b/>
      <w:sz w:val="24"/>
      <w:szCs w:val="24"/>
    </w:rPr>
  </w:style>
  <w:style w:type="paragraph" w:styleId="3">
    <w:name w:val="heading 3"/>
    <w:basedOn w:val="a"/>
    <w:next w:val="a"/>
    <w:link w:val="3Char"/>
    <w:uiPriority w:val="9"/>
    <w:unhideWhenUsed/>
    <w:qFormat/>
    <w:pPr>
      <w:outlineLvl w:val="2"/>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Times New Roman" w:hAnsi="Times New Roman" w:cs="Times New Roman"/>
      <w:b/>
      <w:kern w:val="2"/>
      <w:sz w:val="28"/>
      <w:szCs w:val="28"/>
    </w:rPr>
  </w:style>
  <w:style w:type="character" w:customStyle="1" w:styleId="2Char">
    <w:name w:val="标题 2 Char"/>
    <w:basedOn w:val="a0"/>
    <w:link w:val="2"/>
    <w:uiPriority w:val="9"/>
    <w:rPr>
      <w:rFonts w:ascii="Times New Roman" w:hAnsi="Times New Roman" w:cs="Times New Roman"/>
      <w:b/>
      <w:kern w:val="2"/>
      <w:sz w:val="24"/>
      <w:szCs w:val="24"/>
    </w:rPr>
  </w:style>
  <w:style w:type="character" w:customStyle="1" w:styleId="3Char">
    <w:name w:val="标题 3 Char"/>
    <w:basedOn w:val="a0"/>
    <w:link w:val="3"/>
    <w:uiPriority w:val="9"/>
    <w:rPr>
      <w:rFonts w:ascii="Times New Roman" w:hAnsi="Times New Roman" w:cs="Times New Roman"/>
      <w:b/>
      <w:kern w:val="2"/>
      <w:sz w:val="21"/>
      <w:szCs w:val="22"/>
    </w:rPr>
  </w:style>
  <w:style w:type="paragraph" w:styleId="a6">
    <w:name w:val="footnote text"/>
    <w:basedOn w:val="a"/>
    <w:link w:val="Char1"/>
    <w:uiPriority w:val="99"/>
    <w:semiHidden/>
    <w:unhideWhenUsed/>
    <w:rsid w:val="00193139"/>
    <w:pPr>
      <w:snapToGrid w:val="0"/>
      <w:jc w:val="left"/>
    </w:pPr>
    <w:rPr>
      <w:sz w:val="18"/>
      <w:szCs w:val="18"/>
    </w:rPr>
  </w:style>
  <w:style w:type="character" w:customStyle="1" w:styleId="Char1">
    <w:name w:val="脚注文本 Char"/>
    <w:basedOn w:val="a0"/>
    <w:link w:val="a6"/>
    <w:uiPriority w:val="99"/>
    <w:semiHidden/>
    <w:rsid w:val="00193139"/>
    <w:rPr>
      <w:kern w:val="2"/>
      <w:sz w:val="18"/>
      <w:szCs w:val="18"/>
    </w:rPr>
  </w:style>
  <w:style w:type="character" w:styleId="a7">
    <w:name w:val="footnote reference"/>
    <w:basedOn w:val="a0"/>
    <w:uiPriority w:val="99"/>
    <w:semiHidden/>
    <w:unhideWhenUsed/>
    <w:rsid w:val="001931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9BAD56-5BA5-4E4E-A227-ABC31D36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Daniel</dc:creator>
  <cp:lastModifiedBy>ZHUANG, Yanjun</cp:lastModifiedBy>
  <cp:revision>5</cp:revision>
  <dcterms:created xsi:type="dcterms:W3CDTF">2021-08-27T05:18:00Z</dcterms:created>
  <dcterms:modified xsi:type="dcterms:W3CDTF">2021-09-02T08:00:00Z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